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444" w:rsidRPr="00AA1717" w:rsidRDefault="00AA1717">
      <w:pPr>
        <w:pStyle w:val="Puesto1"/>
        <w:rPr>
          <w:lang w:val="es-ES"/>
        </w:rPr>
      </w:pPr>
      <w:bookmarkStart w:id="0" w:name="_GoBack"/>
      <w:bookmarkEnd w:id="0"/>
      <w:r w:rsidRPr="00AA1717">
        <w:rPr>
          <w:lang w:val="es-ES"/>
        </w:rPr>
        <w:t xml:space="preserve">UNE 66181:2008, el primer </w:t>
      </w:r>
      <w:r>
        <w:rPr>
          <w:lang w:val="es-ES"/>
        </w:rPr>
        <w:t>está</w:t>
      </w:r>
      <w:r w:rsidRPr="00AA1717">
        <w:rPr>
          <w:lang w:val="es-ES"/>
        </w:rPr>
        <w:t>ndar</w:t>
      </w:r>
      <w:r>
        <w:rPr>
          <w:lang w:val="es-ES"/>
        </w:rPr>
        <w:br/>
      </w:r>
      <w:r w:rsidRPr="00AA1717">
        <w:rPr>
          <w:lang w:val="es-ES"/>
        </w:rPr>
        <w:t>sobre calidad de la formación virtual</w:t>
      </w:r>
    </w:p>
    <w:p w:rsidR="007A4EC9" w:rsidRDefault="007E4EF1" w:rsidP="00AA1717">
      <w:pPr>
        <w:pStyle w:val="author"/>
        <w:rPr>
          <w:sz w:val="18"/>
          <w:szCs w:val="18"/>
          <w:vertAlign w:val="superscript"/>
          <w:lang w:val="es-ES"/>
        </w:rPr>
      </w:pPr>
      <w:r w:rsidRPr="00AA1717">
        <w:rPr>
          <w:lang w:val="es-ES"/>
        </w:rPr>
        <w:t>José R</w:t>
      </w:r>
      <w:r w:rsidR="000E42F1">
        <w:rPr>
          <w:lang w:val="es-ES"/>
        </w:rPr>
        <w:t>.</w:t>
      </w:r>
      <w:r w:rsidR="00AA1717" w:rsidRPr="00AA1717">
        <w:rPr>
          <w:lang w:val="es-ES"/>
        </w:rPr>
        <w:t xml:space="preserve"> </w:t>
      </w:r>
      <w:r w:rsidR="000E42F1">
        <w:rPr>
          <w:lang w:val="es-ES"/>
        </w:rPr>
        <w:t>Hilera</w:t>
      </w:r>
      <w:r w:rsidR="000E42F1" w:rsidRPr="000E42F1">
        <w:rPr>
          <w:vertAlign w:val="superscript"/>
          <w:lang w:val="es-ES"/>
        </w:rPr>
        <w:t>1</w:t>
      </w:r>
    </w:p>
    <w:p w:rsidR="00296444" w:rsidRPr="007A4EC9" w:rsidRDefault="000E42F1" w:rsidP="00AA1717">
      <w:pPr>
        <w:pStyle w:val="author"/>
        <w:rPr>
          <w:sz w:val="18"/>
          <w:szCs w:val="18"/>
          <w:lang w:val="es-ES"/>
        </w:rPr>
      </w:pPr>
      <w:r w:rsidRPr="007A4EC9">
        <w:rPr>
          <w:sz w:val="18"/>
          <w:szCs w:val="18"/>
          <w:vertAlign w:val="superscript"/>
          <w:lang w:val="es-ES"/>
        </w:rPr>
        <w:t>1</w:t>
      </w:r>
      <w:r w:rsidR="00AA1717" w:rsidRPr="007A4EC9">
        <w:rPr>
          <w:sz w:val="18"/>
          <w:szCs w:val="18"/>
          <w:lang w:val="es-ES"/>
        </w:rPr>
        <w:t xml:space="preserve">Departamento </w:t>
      </w:r>
      <w:r w:rsidR="00C54BC6">
        <w:rPr>
          <w:sz w:val="18"/>
          <w:szCs w:val="18"/>
          <w:lang w:val="es-ES"/>
        </w:rPr>
        <w:t>de Ciencias de la Computación</w:t>
      </w:r>
      <w:r w:rsidR="00C54BC6">
        <w:rPr>
          <w:sz w:val="18"/>
          <w:szCs w:val="18"/>
          <w:lang w:val="es-ES"/>
        </w:rPr>
        <w:br/>
        <w:t>Escuela Politécnica Superior</w:t>
      </w:r>
      <w:r w:rsidR="00C54BC6" w:rsidRPr="007A4EC9">
        <w:rPr>
          <w:sz w:val="18"/>
          <w:szCs w:val="18"/>
          <w:lang w:val="es-ES"/>
        </w:rPr>
        <w:t xml:space="preserve"> </w:t>
      </w:r>
      <w:r w:rsidR="00AA1717" w:rsidRPr="007A4EC9">
        <w:rPr>
          <w:sz w:val="18"/>
          <w:szCs w:val="18"/>
          <w:lang w:val="es-ES"/>
        </w:rPr>
        <w:br/>
        <w:t>Universidad de Alcalá</w:t>
      </w:r>
      <w:r w:rsidR="00AA1717" w:rsidRPr="007A4EC9">
        <w:rPr>
          <w:sz w:val="18"/>
          <w:szCs w:val="18"/>
          <w:lang w:val="es-ES"/>
        </w:rPr>
        <w:br/>
        <w:t>28871 Alcalá de Henares (Madrid)</w:t>
      </w:r>
      <w:r w:rsidR="00AA1717" w:rsidRPr="007A4EC9">
        <w:rPr>
          <w:sz w:val="18"/>
          <w:szCs w:val="18"/>
          <w:lang w:val="es-ES"/>
        </w:rPr>
        <w:br/>
        <w:t>E-mail: jose.hilera@uah.es</w:t>
      </w:r>
    </w:p>
    <w:p w:rsidR="007A4EC9" w:rsidRDefault="00AA1717">
      <w:pPr>
        <w:pStyle w:val="abstract"/>
        <w:rPr>
          <w:lang w:val="es-ES"/>
        </w:rPr>
      </w:pPr>
      <w:r>
        <w:rPr>
          <w:b/>
          <w:lang w:val="es-ES"/>
        </w:rPr>
        <w:t>Resumen</w:t>
      </w:r>
      <w:r w:rsidR="00296444" w:rsidRPr="00AA1717">
        <w:rPr>
          <w:b/>
          <w:lang w:val="es-ES"/>
        </w:rPr>
        <w:t>.</w:t>
      </w:r>
      <w:r w:rsidR="00296444" w:rsidRPr="00AA1717">
        <w:rPr>
          <w:lang w:val="es-ES"/>
        </w:rPr>
        <w:t xml:space="preserve"> </w:t>
      </w:r>
      <w:r w:rsidR="00B26937">
        <w:rPr>
          <w:lang w:val="es-ES"/>
        </w:rPr>
        <w:t>En este artí</w:t>
      </w:r>
      <w:r>
        <w:rPr>
          <w:lang w:val="es-ES"/>
        </w:rPr>
        <w:t>culo s</w:t>
      </w:r>
      <w:r w:rsidR="0099464F" w:rsidRPr="0099464F">
        <w:rPr>
          <w:lang w:val="es-ES"/>
        </w:rPr>
        <w:t xml:space="preserve">e presenta </w:t>
      </w:r>
      <w:r>
        <w:rPr>
          <w:lang w:val="es-ES"/>
        </w:rPr>
        <w:t>el primer</w:t>
      </w:r>
      <w:r w:rsidR="0099464F" w:rsidRPr="0099464F">
        <w:rPr>
          <w:lang w:val="es-ES"/>
        </w:rPr>
        <w:t xml:space="preserve"> </w:t>
      </w:r>
      <w:r w:rsidR="0099464F">
        <w:rPr>
          <w:lang w:val="es-ES"/>
        </w:rPr>
        <w:t>estándar en el ámbit</w:t>
      </w:r>
      <w:r w:rsidR="0099464F" w:rsidRPr="0099464F">
        <w:rPr>
          <w:lang w:val="es-ES"/>
        </w:rPr>
        <w:t xml:space="preserve">o de la </w:t>
      </w:r>
      <w:r w:rsidR="0099464F">
        <w:rPr>
          <w:lang w:val="es-ES"/>
        </w:rPr>
        <w:t xml:space="preserve">gestión de </w:t>
      </w:r>
      <w:r w:rsidR="0099464F" w:rsidRPr="0099464F">
        <w:rPr>
          <w:lang w:val="es-ES"/>
        </w:rPr>
        <w:t>la calidad de la enseñanza vir</w:t>
      </w:r>
      <w:r w:rsidR="00900D3A">
        <w:rPr>
          <w:lang w:val="es-ES"/>
        </w:rPr>
        <w:t>tual</w:t>
      </w:r>
      <w:r w:rsidR="0099464F" w:rsidRPr="0099464F">
        <w:rPr>
          <w:lang w:val="es-ES"/>
        </w:rPr>
        <w:t xml:space="preserve"> </w:t>
      </w:r>
      <w:r w:rsidR="00900D3A">
        <w:rPr>
          <w:lang w:val="es-ES"/>
        </w:rPr>
        <w:t xml:space="preserve">publicado en España </w:t>
      </w:r>
      <w:r w:rsidR="008827D7">
        <w:rPr>
          <w:lang w:val="es-ES"/>
        </w:rPr>
        <w:t>como norma UNE 6618</w:t>
      </w:r>
      <w:r w:rsidR="0018226F">
        <w:rPr>
          <w:lang w:val="es-ES"/>
        </w:rPr>
        <w:t>1</w:t>
      </w:r>
      <w:r w:rsidR="008827D7">
        <w:rPr>
          <w:lang w:val="es-ES"/>
        </w:rPr>
        <w:t xml:space="preserve"> </w:t>
      </w:r>
      <w:r w:rsidR="00900D3A">
        <w:rPr>
          <w:lang w:val="es-ES"/>
        </w:rPr>
        <w:t xml:space="preserve">por AENOR, la Asociación española de Normalización y Certificación, organismo miembro de ISO, y en </w:t>
      </w:r>
      <w:r w:rsidR="00900D3A" w:rsidRPr="0099464F">
        <w:rPr>
          <w:lang w:val="es-ES"/>
        </w:rPr>
        <w:t>cuya elaboraci</w:t>
      </w:r>
      <w:r w:rsidR="00900D3A">
        <w:rPr>
          <w:lang w:val="es-ES"/>
        </w:rPr>
        <w:t xml:space="preserve">ón han participado </w:t>
      </w:r>
      <w:r>
        <w:rPr>
          <w:lang w:val="es-ES"/>
        </w:rPr>
        <w:t>el</w:t>
      </w:r>
      <w:r w:rsidR="00900D3A">
        <w:rPr>
          <w:lang w:val="es-ES"/>
        </w:rPr>
        <w:t xml:space="preserve"> autor del artículo</w:t>
      </w:r>
      <w:r w:rsidR="00D035D9">
        <w:rPr>
          <w:lang w:val="es-ES"/>
        </w:rPr>
        <w:t>, como vocal del Grupo de Trabajo AEN/CTN 66/SC 1/GT “Calidad de la formación Virtual”</w:t>
      </w:r>
      <w:r w:rsidR="00900D3A">
        <w:rPr>
          <w:lang w:val="es-ES"/>
        </w:rPr>
        <w:t xml:space="preserve">. </w:t>
      </w:r>
      <w:r w:rsidR="001A36F8">
        <w:rPr>
          <w:lang w:val="es-ES"/>
        </w:rPr>
        <w:t xml:space="preserve">Este nuevo estándar </w:t>
      </w:r>
      <w:r w:rsidR="001A36F8" w:rsidRPr="001A36F8">
        <w:rPr>
          <w:lang w:val="es-ES"/>
        </w:rPr>
        <w:t>pretende ser una guía para identificar las características de las acciones formativas virtuales, de forma que los compradores de formación virtual puedan seleccionar los productos que mejor se adapten a sus necesidades y expectativas, y para que los suministradores puedan mejorar su oferta y con ello la satisfacción de sus clientes o alumnos</w:t>
      </w:r>
      <w:r w:rsidR="00900D3A">
        <w:rPr>
          <w:lang w:val="es-ES"/>
        </w:rPr>
        <w:t>.</w:t>
      </w:r>
      <w:r w:rsidR="0095067E">
        <w:rPr>
          <w:lang w:val="es-ES"/>
        </w:rPr>
        <w:t xml:space="preserve"> </w:t>
      </w:r>
    </w:p>
    <w:p w:rsidR="00296444" w:rsidRPr="007A4EC9" w:rsidRDefault="007A4EC9" w:rsidP="007A4EC9">
      <w:pPr>
        <w:pStyle w:val="abstract"/>
        <w:spacing w:before="120"/>
        <w:rPr>
          <w:lang w:val="es-ES"/>
        </w:rPr>
      </w:pPr>
      <w:r w:rsidRPr="007A4EC9">
        <w:rPr>
          <w:b/>
          <w:lang w:val="es-ES"/>
        </w:rPr>
        <w:t xml:space="preserve">Palabras clave: </w:t>
      </w:r>
      <w:r w:rsidRPr="007A4EC9">
        <w:rPr>
          <w:lang w:val="es-ES"/>
        </w:rPr>
        <w:t xml:space="preserve">Estándar de calidad, medición </w:t>
      </w:r>
      <w:r w:rsidR="00C54BC6" w:rsidRPr="007A4EC9">
        <w:rPr>
          <w:lang w:val="es-ES"/>
        </w:rPr>
        <w:t>de la</w:t>
      </w:r>
      <w:r w:rsidRPr="007A4EC9">
        <w:rPr>
          <w:lang w:val="es-ES"/>
        </w:rPr>
        <w:t xml:space="preserve"> calidad, </w:t>
      </w:r>
      <w:r>
        <w:rPr>
          <w:lang w:val="es-ES"/>
        </w:rPr>
        <w:t>norma UNE</w:t>
      </w:r>
      <w:r w:rsidRPr="007A4EC9">
        <w:rPr>
          <w:lang w:val="es-ES"/>
        </w:rPr>
        <w:t>.</w:t>
      </w:r>
    </w:p>
    <w:p w:rsidR="00296444" w:rsidRPr="0099464F" w:rsidRDefault="00296444">
      <w:pPr>
        <w:pStyle w:val="heading1"/>
        <w:outlineLvl w:val="0"/>
        <w:rPr>
          <w:lang w:val="es-ES"/>
        </w:rPr>
      </w:pPr>
      <w:r w:rsidRPr="0099464F">
        <w:rPr>
          <w:lang w:val="es-ES"/>
        </w:rPr>
        <w:t>1   Introduc</w:t>
      </w:r>
      <w:r w:rsidR="00A65D34">
        <w:rPr>
          <w:lang w:val="es-ES"/>
        </w:rPr>
        <w:t>ción</w:t>
      </w:r>
    </w:p>
    <w:p w:rsidR="00717982" w:rsidRDefault="00717982" w:rsidP="004E7411">
      <w:pPr>
        <w:ind w:firstLine="0"/>
        <w:rPr>
          <w:lang w:val="es-ES"/>
        </w:rPr>
      </w:pPr>
      <w:r>
        <w:rPr>
          <w:lang w:val="es-ES"/>
        </w:rPr>
        <w:t xml:space="preserve">La formación en general, y la formación virtual en particular, no </w:t>
      </w:r>
      <w:r w:rsidR="00CD2291">
        <w:rPr>
          <w:lang w:val="es-ES"/>
        </w:rPr>
        <w:t xml:space="preserve">son </w:t>
      </w:r>
      <w:r>
        <w:rPr>
          <w:lang w:val="es-ES"/>
        </w:rPr>
        <w:t>ajena</w:t>
      </w:r>
      <w:r w:rsidR="00CD2291">
        <w:rPr>
          <w:lang w:val="es-ES"/>
        </w:rPr>
        <w:t>s</w:t>
      </w:r>
      <w:r>
        <w:rPr>
          <w:lang w:val="es-ES"/>
        </w:rPr>
        <w:t xml:space="preserve"> a </w:t>
      </w:r>
      <w:r w:rsidR="004E7411">
        <w:rPr>
          <w:lang w:val="es-ES"/>
        </w:rPr>
        <w:t>la preocupación existente entre los organismos de estandarización para unificar criterios y proponer normas y guías universalmente aceptadas que aseguren la calidad de los productos elaborados y de los servicios realizados en cualquier ámbito de la industria</w:t>
      </w:r>
      <w:r>
        <w:rPr>
          <w:lang w:val="es-ES"/>
        </w:rPr>
        <w:t>. La formación puede considerarse un producto o servicio, y por tanto debe estar sujeta a mecanismo de garantía de la calidad.</w:t>
      </w:r>
      <w:r w:rsidR="001E3BC2">
        <w:rPr>
          <w:lang w:val="es-ES"/>
        </w:rPr>
        <w:t xml:space="preserve"> </w:t>
      </w:r>
    </w:p>
    <w:p w:rsidR="008327EB" w:rsidRDefault="00717982" w:rsidP="0001012F">
      <w:pPr>
        <w:rPr>
          <w:lang w:val="es-ES"/>
        </w:rPr>
      </w:pPr>
      <w:r w:rsidRPr="008327EB">
        <w:rPr>
          <w:lang w:val="es-ES"/>
        </w:rPr>
        <w:t xml:space="preserve"> </w:t>
      </w:r>
      <w:r w:rsidR="004E7411">
        <w:rPr>
          <w:lang w:val="es-ES"/>
        </w:rPr>
        <w:t>Ya</w:t>
      </w:r>
      <w:r w:rsidR="0001012F" w:rsidRPr="000C4D0C">
        <w:rPr>
          <w:lang w:val="es-ES"/>
        </w:rPr>
        <w:t xml:space="preserve"> han empezado a desarrollarse estándares internacionales relacionados con la calidad en la formación en general, como la norma ISO 19796-1:2005</w:t>
      </w:r>
      <w:r w:rsidR="00804B98">
        <w:rPr>
          <w:lang w:val="es-ES"/>
        </w:rPr>
        <w:t xml:space="preserve"> [1]</w:t>
      </w:r>
      <w:r w:rsidR="004E7411">
        <w:rPr>
          <w:lang w:val="es-ES"/>
        </w:rPr>
        <w:t>.</w:t>
      </w:r>
      <w:r w:rsidR="00E22761" w:rsidRPr="004E7411">
        <w:rPr>
          <w:lang w:val="es-ES"/>
        </w:rPr>
        <w:t xml:space="preserve"> </w:t>
      </w:r>
      <w:r w:rsidR="008327EB">
        <w:rPr>
          <w:lang w:val="es-ES"/>
        </w:rPr>
        <w:t>Para com</w:t>
      </w:r>
      <w:r w:rsidR="004E7411">
        <w:rPr>
          <w:lang w:val="es-ES"/>
        </w:rPr>
        <w:t>prender este está</w:t>
      </w:r>
      <w:r w:rsidR="008327EB">
        <w:rPr>
          <w:lang w:val="es-ES"/>
        </w:rPr>
        <w:t xml:space="preserve">ndar y otros relacionados con la </w:t>
      </w:r>
      <w:r w:rsidR="00E22761">
        <w:rPr>
          <w:lang w:val="es-ES"/>
        </w:rPr>
        <w:t xml:space="preserve">formación </w:t>
      </w:r>
      <w:r w:rsidR="008327EB">
        <w:rPr>
          <w:lang w:val="es-ES"/>
        </w:rPr>
        <w:t xml:space="preserve">virtual, como la serie </w:t>
      </w:r>
      <w:r w:rsidR="008327EB" w:rsidRPr="008327EB">
        <w:rPr>
          <w:lang w:val="es-ES"/>
        </w:rPr>
        <w:t>ISO 19778</w:t>
      </w:r>
      <w:r w:rsidR="008327EB">
        <w:rPr>
          <w:lang w:val="es-ES"/>
        </w:rPr>
        <w:t xml:space="preserve"> sobre el aprendizaje colaborativo</w:t>
      </w:r>
      <w:r w:rsidR="00804B98">
        <w:rPr>
          <w:lang w:val="es-ES"/>
        </w:rPr>
        <w:t xml:space="preserve"> [2</w:t>
      </w:r>
      <w:r w:rsidR="00CD2291">
        <w:rPr>
          <w:lang w:val="es-ES"/>
        </w:rPr>
        <w:t>]</w:t>
      </w:r>
      <w:r w:rsidR="008327EB">
        <w:rPr>
          <w:lang w:val="es-ES"/>
        </w:rPr>
        <w:t xml:space="preserve">, </w:t>
      </w:r>
      <w:r w:rsidR="004E7411">
        <w:rPr>
          <w:lang w:val="es-ES"/>
        </w:rPr>
        <w:t xml:space="preserve">ISO </w:t>
      </w:r>
      <w:r w:rsidR="008327EB">
        <w:rPr>
          <w:lang w:val="es-ES"/>
        </w:rPr>
        <w:t>ha creado recientemente un vocabulario sobre esta materia que permitirá unificar la terminología en este campo</w:t>
      </w:r>
      <w:r w:rsidR="00804B98">
        <w:rPr>
          <w:lang w:val="es-ES"/>
        </w:rPr>
        <w:t xml:space="preserve"> [3</w:t>
      </w:r>
      <w:r w:rsidR="00CD2291">
        <w:rPr>
          <w:lang w:val="es-ES"/>
        </w:rPr>
        <w:t>]</w:t>
      </w:r>
      <w:r w:rsidR="008327EB">
        <w:rPr>
          <w:lang w:val="es-ES"/>
        </w:rPr>
        <w:t>.</w:t>
      </w:r>
    </w:p>
    <w:p w:rsidR="00296444" w:rsidRDefault="000C4D0C" w:rsidP="001A36F8">
      <w:pPr>
        <w:rPr>
          <w:lang w:val="es-ES"/>
        </w:rPr>
      </w:pPr>
      <w:r>
        <w:rPr>
          <w:lang w:val="es-ES"/>
        </w:rPr>
        <w:t>En este contexto, es habitual que las iniciati</w:t>
      </w:r>
      <w:r w:rsidR="00DB1F62">
        <w:rPr>
          <w:lang w:val="es-ES"/>
        </w:rPr>
        <w:t>vas sobre calidad en e-learning</w:t>
      </w:r>
      <w:r>
        <w:rPr>
          <w:lang w:val="es-ES"/>
        </w:rPr>
        <w:t xml:space="preserve"> provengan de dos ámbitos diferentes: el ámbito de las tecnologías de la información o el ámbito de la Gestión </w:t>
      </w:r>
      <w:r w:rsidR="002A087D">
        <w:rPr>
          <w:lang w:val="es-ES"/>
        </w:rPr>
        <w:t xml:space="preserve">y aseguramiento </w:t>
      </w:r>
      <w:r>
        <w:rPr>
          <w:lang w:val="es-ES"/>
        </w:rPr>
        <w:t>de la Calidad. En el caso del estándar que se presenta en este artículo</w:t>
      </w:r>
      <w:r w:rsidR="00A95D26">
        <w:rPr>
          <w:lang w:val="es-ES"/>
        </w:rPr>
        <w:t>, UNE 66181</w:t>
      </w:r>
      <w:r w:rsidR="00804B98">
        <w:rPr>
          <w:lang w:val="es-ES"/>
        </w:rPr>
        <w:t xml:space="preserve"> [4</w:t>
      </w:r>
      <w:r w:rsidR="00EB5B84">
        <w:rPr>
          <w:lang w:val="es-ES"/>
        </w:rPr>
        <w:t>,5</w:t>
      </w:r>
      <w:r w:rsidR="00CD2291">
        <w:rPr>
          <w:lang w:val="es-ES"/>
        </w:rPr>
        <w:t>]</w:t>
      </w:r>
      <w:r>
        <w:rPr>
          <w:lang w:val="es-ES"/>
        </w:rPr>
        <w:t xml:space="preserve">, la iniciativa ha partido del </w:t>
      </w:r>
      <w:r w:rsidR="00804B98">
        <w:rPr>
          <w:lang w:val="es-ES"/>
        </w:rPr>
        <w:t>Comité</w:t>
      </w:r>
      <w:r w:rsidR="00804B98" w:rsidRPr="00634177">
        <w:rPr>
          <w:lang w:val="es-ES"/>
        </w:rPr>
        <w:t xml:space="preserve"> Técnico de Normalización 66</w:t>
      </w:r>
      <w:r w:rsidR="00804B98">
        <w:rPr>
          <w:lang w:val="es-ES"/>
        </w:rPr>
        <w:t xml:space="preserve">, </w:t>
      </w:r>
      <w:r>
        <w:rPr>
          <w:lang w:val="es-ES"/>
        </w:rPr>
        <w:t>responsable en AENOR de los estándares relacionados con la calidad</w:t>
      </w:r>
      <w:r w:rsidR="00804B98">
        <w:rPr>
          <w:lang w:val="es-ES"/>
        </w:rPr>
        <w:t xml:space="preserve"> en la industria</w:t>
      </w:r>
      <w:r>
        <w:rPr>
          <w:lang w:val="es-ES"/>
        </w:rPr>
        <w:t>, como por ejemplo ISO 9001</w:t>
      </w:r>
      <w:r w:rsidR="00EB5B84">
        <w:rPr>
          <w:lang w:val="es-ES"/>
        </w:rPr>
        <w:t xml:space="preserve"> [6</w:t>
      </w:r>
      <w:r w:rsidR="00CD2291">
        <w:rPr>
          <w:lang w:val="es-ES"/>
        </w:rPr>
        <w:t>]</w:t>
      </w:r>
      <w:r w:rsidR="001A36F8">
        <w:rPr>
          <w:lang w:val="es-ES"/>
        </w:rPr>
        <w:t>.</w:t>
      </w:r>
      <w:r w:rsidR="00245D88">
        <w:rPr>
          <w:lang w:val="es-ES"/>
        </w:rPr>
        <w:t xml:space="preserve"> En el seno de este Comité se ha creado el Grupo de Trabajo AEN/CTN 66/SC 1/GT “Calidad de la formación Virtual”, que se </w:t>
      </w:r>
      <w:r w:rsidR="00245D88">
        <w:rPr>
          <w:lang w:val="es-ES"/>
        </w:rPr>
        <w:lastRenderedPageBreak/>
        <w:t>ha encargado de la elaboración del estándar, y</w:t>
      </w:r>
      <w:r w:rsidR="00245D88" w:rsidRPr="00245D88">
        <w:rPr>
          <w:lang w:val="es-ES"/>
        </w:rPr>
        <w:t xml:space="preserve"> </w:t>
      </w:r>
      <w:r w:rsidR="00245D88">
        <w:rPr>
          <w:lang w:val="es-ES"/>
        </w:rPr>
        <w:t>al que pertenece como vocal el autor de este artículo.</w:t>
      </w:r>
    </w:p>
    <w:p w:rsidR="000B1406" w:rsidRPr="000B1406" w:rsidRDefault="000B1406" w:rsidP="000B1406">
      <w:pPr>
        <w:rPr>
          <w:lang w:val="es-ES"/>
        </w:rPr>
      </w:pPr>
      <w:r w:rsidRPr="000B1406">
        <w:rPr>
          <w:lang w:val="es-ES"/>
        </w:rPr>
        <w:t xml:space="preserve">Esta </w:t>
      </w:r>
      <w:r w:rsidR="004E7411">
        <w:rPr>
          <w:lang w:val="es-ES"/>
        </w:rPr>
        <w:t xml:space="preserve">nueva </w:t>
      </w:r>
      <w:r w:rsidRPr="000B1406">
        <w:rPr>
          <w:lang w:val="es-ES"/>
        </w:rPr>
        <w:t>norma espec</w:t>
      </w:r>
      <w:r>
        <w:rPr>
          <w:lang w:val="es-ES"/>
        </w:rPr>
        <w:t>í</w:t>
      </w:r>
      <w:r w:rsidRPr="000B1406">
        <w:rPr>
          <w:lang w:val="es-ES"/>
        </w:rPr>
        <w:t>fica las directrices para la identificación de las características que definen la calidad de la formación virtual con relación a los potenciales clientes o compradore</w:t>
      </w:r>
      <w:r>
        <w:rPr>
          <w:lang w:val="es-ES"/>
        </w:rPr>
        <w:t>s</w:t>
      </w:r>
      <w:r w:rsidR="00C84775">
        <w:rPr>
          <w:lang w:val="es-ES"/>
        </w:rPr>
        <w:t>. La norma</w:t>
      </w:r>
      <w:r w:rsidR="0048328F">
        <w:rPr>
          <w:lang w:val="es-ES"/>
        </w:rPr>
        <w:t xml:space="preserve"> </w:t>
      </w:r>
      <w:r w:rsidRPr="000B1406">
        <w:rPr>
          <w:lang w:val="es-ES"/>
        </w:rPr>
        <w:t>permitirá a los suministradores de formación virtual identificar la calidad de su oferta de una forma clara y reconocida, y mejorar su comercialización; y a los alumnos y clientes, seleccionar la oferta formativa que mejor se adecúa a sus necesidades y expectativas.</w:t>
      </w:r>
      <w:r w:rsidR="004E7411">
        <w:rPr>
          <w:lang w:val="es-ES"/>
        </w:rPr>
        <w:t xml:space="preserve"> Para ello, establece un sistema de indicadores de calidad, así como una escala de cinco niveles de calidad para cada uno de los factores identificados.</w:t>
      </w:r>
    </w:p>
    <w:p w:rsidR="004E7411" w:rsidRPr="000B1406" w:rsidRDefault="004E7411" w:rsidP="004E7411">
      <w:pPr>
        <w:rPr>
          <w:lang w:val="es-ES"/>
        </w:rPr>
      </w:pPr>
      <w:r>
        <w:rPr>
          <w:lang w:val="es-ES"/>
        </w:rPr>
        <w:t>El estándar está orientado para su aplicación en el caso de la enseñanza virtual no reglada, aunque por su generalidad puede extenderse su uso a otros sistemas educativos, incluido el universitario, en los que se lleven a cabo acciones de formación virtual, tanto en modalidad de au</w:t>
      </w:r>
      <w:r w:rsidRPr="001A36F8">
        <w:rPr>
          <w:lang w:val="es-ES"/>
        </w:rPr>
        <w:t>formación, teleformación</w:t>
      </w:r>
      <w:r>
        <w:rPr>
          <w:lang w:val="es-ES"/>
        </w:rPr>
        <w:t xml:space="preserve">, o </w:t>
      </w:r>
      <w:r w:rsidRPr="001A36F8">
        <w:rPr>
          <w:lang w:val="es-ES"/>
        </w:rPr>
        <w:t>forma</w:t>
      </w:r>
      <w:r>
        <w:rPr>
          <w:lang w:val="es-ES"/>
        </w:rPr>
        <w:t>ción mixta.</w:t>
      </w:r>
    </w:p>
    <w:p w:rsidR="00296444" w:rsidRPr="0099464F" w:rsidRDefault="0099464F">
      <w:pPr>
        <w:pStyle w:val="heading1"/>
        <w:outlineLvl w:val="0"/>
        <w:rPr>
          <w:lang w:val="es-ES"/>
        </w:rPr>
      </w:pPr>
      <w:r w:rsidRPr="0099464F">
        <w:rPr>
          <w:lang w:val="es-ES"/>
        </w:rPr>
        <w:t>3</w:t>
      </w:r>
      <w:r w:rsidR="0017424D" w:rsidRPr="0099464F">
        <w:rPr>
          <w:lang w:val="es-ES"/>
        </w:rPr>
        <w:t xml:space="preserve">   </w:t>
      </w:r>
      <w:r w:rsidR="004E7411">
        <w:rPr>
          <w:lang w:val="es-ES"/>
        </w:rPr>
        <w:t xml:space="preserve">Contenido del </w:t>
      </w:r>
      <w:r w:rsidRPr="0099464F">
        <w:rPr>
          <w:lang w:val="es-ES"/>
        </w:rPr>
        <w:t>est</w:t>
      </w:r>
      <w:r>
        <w:rPr>
          <w:lang w:val="es-ES"/>
        </w:rPr>
        <w:t>ándar</w:t>
      </w:r>
    </w:p>
    <w:p w:rsidR="00304DEE" w:rsidRPr="00AE7645" w:rsidRDefault="00AE7645" w:rsidP="00AE7645">
      <w:pPr>
        <w:ind w:firstLine="0"/>
        <w:rPr>
          <w:lang w:val="es-ES"/>
        </w:rPr>
      </w:pPr>
      <w:r>
        <w:rPr>
          <w:lang w:val="es-ES"/>
        </w:rPr>
        <w:t xml:space="preserve">El estándar </w:t>
      </w:r>
      <w:r w:rsidRPr="00AE7645">
        <w:rPr>
          <w:lang w:val="es-ES"/>
        </w:rPr>
        <w:t xml:space="preserve">pretende mejorar la satisfacción de </w:t>
      </w:r>
      <w:r w:rsidR="00304DEE">
        <w:rPr>
          <w:lang w:val="es-ES"/>
        </w:rPr>
        <w:t xml:space="preserve">los </w:t>
      </w:r>
      <w:r w:rsidRPr="00AE7645">
        <w:rPr>
          <w:lang w:val="es-ES"/>
        </w:rPr>
        <w:t xml:space="preserve">clientes </w:t>
      </w:r>
      <w:r w:rsidR="00304DEE">
        <w:rPr>
          <w:lang w:val="es-ES"/>
        </w:rPr>
        <w:t>de la formación virtual</w:t>
      </w:r>
      <w:r w:rsidR="00CD2291">
        <w:rPr>
          <w:lang w:val="es-ES"/>
        </w:rPr>
        <w:t>.</w:t>
      </w:r>
      <w:r w:rsidR="00304DEE">
        <w:rPr>
          <w:lang w:val="es-ES"/>
        </w:rPr>
        <w:t xml:space="preserve"> </w:t>
      </w:r>
      <w:r w:rsidR="00304DEE" w:rsidRPr="00304DEE">
        <w:rPr>
          <w:lang w:val="es-ES"/>
        </w:rPr>
        <w:t>El nivel de satisfacción de los clientes de la formación virtual depende de la diferencia, positiva o negativa, entre sus expectativas iniciales (lo que esperaba</w:t>
      </w:r>
      <w:r w:rsidR="00CD2291">
        <w:rPr>
          <w:lang w:val="es-ES"/>
        </w:rPr>
        <w:t>n</w:t>
      </w:r>
      <w:r w:rsidR="00304DEE" w:rsidRPr="00304DEE">
        <w:rPr>
          <w:lang w:val="es-ES"/>
        </w:rPr>
        <w:t>) y lo que ha</w:t>
      </w:r>
      <w:r w:rsidR="00CD2291">
        <w:rPr>
          <w:lang w:val="es-ES"/>
        </w:rPr>
        <w:t>n</w:t>
      </w:r>
      <w:r w:rsidR="00304DEE" w:rsidRPr="00304DEE">
        <w:rPr>
          <w:lang w:val="es-ES"/>
        </w:rPr>
        <w:t xml:space="preserve"> recibido. </w:t>
      </w:r>
      <w:r w:rsidR="00304DEE">
        <w:rPr>
          <w:lang w:val="es-ES"/>
        </w:rPr>
        <w:t>El modelo de calidad establecido por este están</w:t>
      </w:r>
      <w:r w:rsidR="00CD2291">
        <w:rPr>
          <w:lang w:val="es-ES"/>
        </w:rPr>
        <w:t>dar</w:t>
      </w:r>
      <w:r w:rsidR="00304DEE">
        <w:rPr>
          <w:lang w:val="es-ES"/>
        </w:rPr>
        <w:t xml:space="preserve"> se basa en el ciclo de satisfacción de las necesidades y expectativas de los clientes representado en la fig</w:t>
      </w:r>
      <w:r w:rsidR="00DA551C">
        <w:rPr>
          <w:lang w:val="es-ES"/>
        </w:rPr>
        <w:t>.1</w:t>
      </w:r>
    </w:p>
    <w:p w:rsidR="00AE7645" w:rsidRDefault="00AE7645" w:rsidP="00AE7645">
      <w:pPr>
        <w:rPr>
          <w:lang w:val="es-ES"/>
        </w:rPr>
      </w:pPr>
    </w:p>
    <w:p w:rsidR="00AE7645" w:rsidRDefault="00C54BC6" w:rsidP="00AE7645">
      <w:pPr>
        <w:jc w:val="center"/>
        <w:rPr>
          <w:rFonts w:ascii="Arial" w:hAnsi="Arial" w:cs="Arial"/>
        </w:rPr>
      </w:pPr>
      <w:r w:rsidRPr="00687747">
        <w:rPr>
          <w:rFonts w:ascii="Arial" w:hAnsi="Arial" w:cs="Arial"/>
          <w:noProof/>
          <w:lang w:val="es-AR" w:eastAsia="es-AR"/>
        </w:rPr>
        <w:drawing>
          <wp:inline distT="0" distB="0" distL="0" distR="0">
            <wp:extent cx="2514600" cy="1876425"/>
            <wp:effectExtent l="0" t="0" r="0" b="9525"/>
            <wp:docPr id="1" name="Imagen 1" descr="Fig01-Ciclo de satisfac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01-Ciclo de satisfacc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1876425"/>
                    </a:xfrm>
                    <a:prstGeom prst="rect">
                      <a:avLst/>
                    </a:prstGeom>
                    <a:noFill/>
                    <a:ln>
                      <a:noFill/>
                    </a:ln>
                  </pic:spPr>
                </pic:pic>
              </a:graphicData>
            </a:graphic>
          </wp:inline>
        </w:drawing>
      </w:r>
    </w:p>
    <w:p w:rsidR="00AE7645" w:rsidRDefault="00AE7645" w:rsidP="00CD2291">
      <w:pPr>
        <w:pStyle w:val="figurelegend"/>
        <w:jc w:val="center"/>
        <w:rPr>
          <w:lang w:val="es-ES"/>
        </w:rPr>
      </w:pPr>
      <w:r w:rsidRPr="00AE7645">
        <w:rPr>
          <w:b/>
          <w:lang w:val="es-ES"/>
        </w:rPr>
        <w:t>Fig. 1.</w:t>
      </w:r>
      <w:r>
        <w:rPr>
          <w:lang w:val="es-ES"/>
        </w:rPr>
        <w:t xml:space="preserve"> Ciclo de </w:t>
      </w:r>
      <w:r w:rsidRPr="00AE7645">
        <w:rPr>
          <w:lang w:val="es-ES"/>
        </w:rPr>
        <w:t>la satisfacción de las necesidades y expectativas</w:t>
      </w:r>
      <w:r>
        <w:rPr>
          <w:lang w:val="es-ES"/>
        </w:rPr>
        <w:t xml:space="preserve"> </w:t>
      </w:r>
      <w:r w:rsidR="00CD2291">
        <w:rPr>
          <w:lang w:val="es-ES"/>
        </w:rPr>
        <w:br/>
      </w:r>
      <w:r w:rsidRPr="00AE7645">
        <w:rPr>
          <w:lang w:val="es-ES"/>
        </w:rPr>
        <w:t>de los clientes de la formación virtua</w:t>
      </w:r>
      <w:r>
        <w:rPr>
          <w:lang w:val="es-ES"/>
        </w:rPr>
        <w:t>l</w:t>
      </w:r>
      <w:r w:rsidR="00304DEE">
        <w:rPr>
          <w:lang w:val="es-ES"/>
        </w:rPr>
        <w:t xml:space="preserve"> (AENOR, 2008)</w:t>
      </w:r>
      <w:r>
        <w:rPr>
          <w:lang w:val="es-ES"/>
        </w:rPr>
        <w:t>.</w:t>
      </w:r>
    </w:p>
    <w:p w:rsidR="00DA551C" w:rsidRPr="00DA551C" w:rsidRDefault="00DA551C" w:rsidP="00DA551C">
      <w:pPr>
        <w:rPr>
          <w:lang w:val="es-ES"/>
        </w:rPr>
      </w:pPr>
    </w:p>
    <w:p w:rsidR="00092A57" w:rsidRPr="00092A57" w:rsidRDefault="00092A57" w:rsidP="00092A57">
      <w:pPr>
        <w:rPr>
          <w:lang w:val="es-ES"/>
        </w:rPr>
      </w:pPr>
      <w:r>
        <w:rPr>
          <w:lang w:val="es-ES"/>
        </w:rPr>
        <w:t xml:space="preserve">Según el modelo de la figura, el ciclo comienza cuando aparecen una necesidades en el mercado que son </w:t>
      </w:r>
      <w:r w:rsidRPr="00092A57">
        <w:rPr>
          <w:lang w:val="es-ES"/>
        </w:rPr>
        <w:t>detectadas, analizadas y utilizadas por los suministradores de formación como guía para el diseño y desarrollo de la oferta formativa que demandan los clientes</w:t>
      </w:r>
      <w:r>
        <w:rPr>
          <w:lang w:val="es-ES"/>
        </w:rPr>
        <w:t xml:space="preserve">. </w:t>
      </w:r>
      <w:r w:rsidRPr="00092A57">
        <w:rPr>
          <w:lang w:val="es-ES"/>
        </w:rPr>
        <w:t>La formación virtual desarrollada es ofertada al mercado por los suminis</w:t>
      </w:r>
      <w:r w:rsidRPr="00092A57">
        <w:rPr>
          <w:lang w:val="es-ES"/>
        </w:rPr>
        <w:lastRenderedPageBreak/>
        <w:t>tradores, de forma que pueda ser analizada por los clientes. La satisfacción de las necesidades y expectativas de los clientes de la formación virtual está directamente relacionada con su capacidad para seleccionar la oferta formativa más adecuada a sus necesidades y a su situación (capacidad, situación económica, etc.).</w:t>
      </w:r>
      <w:r>
        <w:rPr>
          <w:lang w:val="es-ES"/>
        </w:rPr>
        <w:t xml:space="preserve"> </w:t>
      </w:r>
      <w:r w:rsidRPr="00092A57">
        <w:rPr>
          <w:lang w:val="es-ES"/>
        </w:rPr>
        <w:t>Los clientes seleccionan la oferta formativa más interesante para ellos</w:t>
      </w:r>
      <w:r w:rsidR="00CD2291">
        <w:rPr>
          <w:lang w:val="es-ES"/>
        </w:rPr>
        <w:t>,</w:t>
      </w:r>
      <w:r>
        <w:rPr>
          <w:lang w:val="es-ES"/>
        </w:rPr>
        <w:t xml:space="preserve"> </w:t>
      </w:r>
      <w:r w:rsidRPr="00092A57">
        <w:rPr>
          <w:lang w:val="es-ES"/>
        </w:rPr>
        <w:t>y una vez recibida la formación, aumentará o disminuirá su satisfacción en función de la diferencia positiva o negativa entre sus expectativas y lo recibido.  De esto se deriva la necesidad de que la información suministrada en la oferta formativa (fase 2 de la Figura 1)</w:t>
      </w:r>
      <w:r w:rsidR="00CD2291">
        <w:rPr>
          <w:lang w:val="es-ES"/>
        </w:rPr>
        <w:t>,</w:t>
      </w:r>
      <w:r w:rsidRPr="00092A57">
        <w:rPr>
          <w:lang w:val="es-ES"/>
        </w:rPr>
        <w:t xml:space="preserve"> sea suficiente y clara, de manera que los clientes no desarrollen expectativas inciertas, ni reduzcan por ello su satisfacción.</w:t>
      </w:r>
    </w:p>
    <w:p w:rsidR="00AE7645" w:rsidRDefault="00092A57" w:rsidP="00092A57">
      <w:pPr>
        <w:rPr>
          <w:lang w:val="es-ES"/>
        </w:rPr>
      </w:pPr>
      <w:r w:rsidRPr="00092A57">
        <w:rPr>
          <w:lang w:val="es-ES"/>
        </w:rPr>
        <w:t>Si la información de la oferta ha sido clara y suficiente, la expectativa del cliente y el resultado obtenido son similares y, por tanto, se produce un retorno de la inversión en la compra y un aumento de la confianza en el suministrador. Si por el contrario</w:t>
      </w:r>
      <w:r>
        <w:rPr>
          <w:lang w:val="es-ES"/>
        </w:rPr>
        <w:t>,</w:t>
      </w:r>
      <w:r w:rsidRPr="00092A57">
        <w:rPr>
          <w:lang w:val="es-ES"/>
        </w:rPr>
        <w:t xml:space="preserve"> la información no ha sido suficiente ni clara, la expectativa del cliente ha podido distorsionarse con relación a lo que realmente ofrece la formación, y su satisfacción puede ser inferior a la esperada, lo que conlleva desconfianza hacia el suministrador y hacia el mercado de la formación virtual.</w:t>
      </w:r>
    </w:p>
    <w:p w:rsidR="00600F7B" w:rsidRDefault="00600F7B" w:rsidP="00092A57">
      <w:pPr>
        <w:rPr>
          <w:lang w:val="es-ES"/>
        </w:rPr>
      </w:pPr>
      <w:r>
        <w:rPr>
          <w:lang w:val="es-ES"/>
        </w:rPr>
        <w:t xml:space="preserve">Con el fin de mejorar la satisfacción de los clientes, este estándar establece un modelo de calidad basado en una serie de indicadores de calidad que representan factores de satisfacción de los clientes, cada uno de los cuales se descomponen en atributos </w:t>
      </w:r>
      <w:r w:rsidR="00CD0B14">
        <w:rPr>
          <w:lang w:val="es-ES"/>
        </w:rPr>
        <w:t xml:space="preserve">clave </w:t>
      </w:r>
      <w:r w:rsidR="004020D0">
        <w:rPr>
          <w:lang w:val="es-ES"/>
        </w:rPr>
        <w:t xml:space="preserve">sobre los que se puede </w:t>
      </w:r>
      <w:r w:rsidR="00684DEF">
        <w:rPr>
          <w:lang w:val="es-ES"/>
        </w:rPr>
        <w:t>actuar</w:t>
      </w:r>
      <w:r w:rsidR="004020D0">
        <w:rPr>
          <w:lang w:val="es-ES"/>
        </w:rPr>
        <w:t xml:space="preserve"> para mejorar el factor de satisfacción correspondiente</w:t>
      </w:r>
      <w:r w:rsidR="00CD0B14">
        <w:rPr>
          <w:lang w:val="es-ES"/>
        </w:rPr>
        <w:t xml:space="preserve"> (tabla 1)</w:t>
      </w:r>
      <w:r w:rsidR="004020D0">
        <w:rPr>
          <w:lang w:val="es-ES"/>
        </w:rPr>
        <w:t>. El nivel de calidad de una acción formativa vendrá determinado por la combinación de</w:t>
      </w:r>
      <w:r w:rsidR="00CD2291">
        <w:rPr>
          <w:lang w:val="es-ES"/>
        </w:rPr>
        <w:t>l</w:t>
      </w:r>
      <w:r w:rsidR="004020D0">
        <w:rPr>
          <w:lang w:val="es-ES"/>
        </w:rPr>
        <w:t xml:space="preserve"> nivel de satisfacción asociado a cada factor.</w:t>
      </w:r>
    </w:p>
    <w:p w:rsidR="00AA10FD" w:rsidRPr="002B57A4" w:rsidRDefault="00AA10FD" w:rsidP="00AA10FD">
      <w:pPr>
        <w:pStyle w:val="tabletitle"/>
        <w:jc w:val="center"/>
        <w:rPr>
          <w:lang w:val="es-ES"/>
        </w:rPr>
      </w:pPr>
      <w:r w:rsidRPr="002B57A4">
        <w:rPr>
          <w:b/>
          <w:lang w:val="es-ES"/>
        </w:rPr>
        <w:t>Tabl</w:t>
      </w:r>
      <w:r>
        <w:rPr>
          <w:b/>
          <w:lang w:val="es-ES"/>
        </w:rPr>
        <w:t>a</w:t>
      </w:r>
      <w:r w:rsidRPr="002B57A4">
        <w:rPr>
          <w:b/>
          <w:lang w:val="es-ES"/>
        </w:rPr>
        <w:t xml:space="preserve"> </w:t>
      </w:r>
      <w:r>
        <w:rPr>
          <w:b/>
          <w:lang w:val="en-US"/>
        </w:rPr>
        <w:fldChar w:fldCharType="begin"/>
      </w:r>
      <w:r w:rsidRPr="002B57A4">
        <w:rPr>
          <w:b/>
          <w:lang w:val="es-ES"/>
        </w:rPr>
        <w:instrText xml:space="preserve"> SEQ Table \n </w:instrText>
      </w:r>
      <w:r>
        <w:rPr>
          <w:b/>
          <w:lang w:val="en-US"/>
        </w:rPr>
        <w:fldChar w:fldCharType="separate"/>
      </w:r>
      <w:r>
        <w:rPr>
          <w:b/>
          <w:noProof/>
          <w:lang w:val="es-ES"/>
        </w:rPr>
        <w:t>1</w:t>
      </w:r>
      <w:r>
        <w:rPr>
          <w:b/>
          <w:lang w:val="en-US"/>
        </w:rPr>
        <w:fldChar w:fldCharType="end"/>
      </w:r>
      <w:r w:rsidRPr="002B57A4">
        <w:rPr>
          <w:b/>
          <w:lang w:val="es-ES"/>
        </w:rPr>
        <w:t>.</w:t>
      </w:r>
      <w:r w:rsidRPr="002B57A4">
        <w:rPr>
          <w:lang w:val="es-ES"/>
        </w:rPr>
        <w:t xml:space="preserve"> Atributos </w:t>
      </w:r>
      <w:r>
        <w:rPr>
          <w:lang w:val="es-ES"/>
        </w:rPr>
        <w:t xml:space="preserve">clave </w:t>
      </w:r>
      <w:r w:rsidRPr="002B57A4">
        <w:rPr>
          <w:lang w:val="es-ES"/>
        </w:rPr>
        <w:t>establecidos p</w:t>
      </w:r>
      <w:r>
        <w:rPr>
          <w:lang w:val="es-ES"/>
        </w:rPr>
        <w:t>ara</w:t>
      </w:r>
      <w:r w:rsidRPr="002B57A4">
        <w:rPr>
          <w:lang w:val="es-ES"/>
        </w:rPr>
        <w:t xml:space="preserve"> cada fac</w:t>
      </w:r>
      <w:r>
        <w:rPr>
          <w:lang w:val="es-ES"/>
        </w:rPr>
        <w:t>t</w:t>
      </w:r>
      <w:r w:rsidRPr="002B57A4">
        <w:rPr>
          <w:lang w:val="es-ES"/>
        </w:rPr>
        <w:t xml:space="preserve">or de </w:t>
      </w:r>
      <w:r>
        <w:rPr>
          <w:lang w:val="es-ES"/>
        </w:rPr>
        <w:t>satisfacción.</w:t>
      </w:r>
    </w:p>
    <w:tbl>
      <w:tblPr>
        <w:tblW w:w="0" w:type="auto"/>
        <w:jc w:val="center"/>
        <w:tblLayout w:type="fixed"/>
        <w:tblCellMar>
          <w:left w:w="70" w:type="dxa"/>
          <w:right w:w="70" w:type="dxa"/>
        </w:tblCellMar>
        <w:tblLook w:val="0000" w:firstRow="0" w:lastRow="0" w:firstColumn="0" w:lastColumn="0" w:noHBand="0" w:noVBand="0"/>
      </w:tblPr>
      <w:tblGrid>
        <w:gridCol w:w="3082"/>
        <w:gridCol w:w="2601"/>
      </w:tblGrid>
      <w:tr w:rsidR="00AA10FD" w:rsidRPr="00F60C20" w:rsidTr="009838F2">
        <w:trPr>
          <w:jc w:val="center"/>
        </w:trPr>
        <w:tc>
          <w:tcPr>
            <w:tcW w:w="3082" w:type="dxa"/>
            <w:tcBorders>
              <w:top w:val="single" w:sz="12" w:space="0" w:color="000000"/>
              <w:bottom w:val="single" w:sz="6" w:space="0" w:color="000000"/>
            </w:tcBorders>
          </w:tcPr>
          <w:p w:rsidR="00AA10FD" w:rsidRPr="00F60C20" w:rsidRDefault="00AA10FD" w:rsidP="009838F2">
            <w:pPr>
              <w:ind w:firstLine="0"/>
              <w:jc w:val="center"/>
              <w:rPr>
                <w:sz w:val="16"/>
                <w:szCs w:val="16"/>
              </w:rPr>
            </w:pPr>
            <w:r w:rsidRPr="00F60C20">
              <w:rPr>
                <w:sz w:val="16"/>
                <w:szCs w:val="16"/>
              </w:rPr>
              <w:t>FACTORES DE SATISFACCIÓN</w:t>
            </w:r>
          </w:p>
        </w:tc>
        <w:tc>
          <w:tcPr>
            <w:tcW w:w="2601" w:type="dxa"/>
            <w:tcBorders>
              <w:top w:val="single" w:sz="12" w:space="0" w:color="000000"/>
              <w:bottom w:val="single" w:sz="6" w:space="0" w:color="000000"/>
            </w:tcBorders>
          </w:tcPr>
          <w:p w:rsidR="00AA10FD" w:rsidRPr="00F60C20" w:rsidRDefault="00AA10FD" w:rsidP="009838F2">
            <w:pPr>
              <w:ind w:firstLine="0"/>
              <w:jc w:val="center"/>
              <w:rPr>
                <w:sz w:val="16"/>
                <w:szCs w:val="16"/>
              </w:rPr>
            </w:pPr>
            <w:r w:rsidRPr="00F60C20">
              <w:rPr>
                <w:sz w:val="16"/>
                <w:szCs w:val="16"/>
              </w:rPr>
              <w:t>ATRIBUTOS</w:t>
            </w:r>
            <w:r>
              <w:rPr>
                <w:sz w:val="16"/>
                <w:szCs w:val="16"/>
              </w:rPr>
              <w:t xml:space="preserve"> CLAVE</w:t>
            </w:r>
          </w:p>
        </w:tc>
      </w:tr>
      <w:tr w:rsidR="00AA10FD" w:rsidRPr="00F60C20" w:rsidTr="009838F2">
        <w:trPr>
          <w:jc w:val="center"/>
        </w:trPr>
        <w:tc>
          <w:tcPr>
            <w:tcW w:w="3082" w:type="dxa"/>
          </w:tcPr>
          <w:p w:rsidR="00AA10FD" w:rsidRPr="00C54BC6" w:rsidRDefault="00AA10FD" w:rsidP="009838F2">
            <w:pPr>
              <w:pStyle w:val="Estilo1"/>
              <w:jc w:val="left"/>
              <w:rPr>
                <w:b/>
                <w:bCs/>
                <w:color w:val="000000"/>
                <w:sz w:val="16"/>
                <w:szCs w:val="16"/>
                <w:lang w:val="es-ES"/>
              </w:rPr>
            </w:pPr>
            <w:r w:rsidRPr="00C54BC6">
              <w:rPr>
                <w:b/>
                <w:bCs/>
                <w:color w:val="000000"/>
                <w:sz w:val="16"/>
                <w:szCs w:val="16"/>
                <w:lang w:val="es-ES"/>
              </w:rPr>
              <w:t>Información</w:t>
            </w:r>
          </w:p>
        </w:tc>
        <w:tc>
          <w:tcPr>
            <w:tcW w:w="2601" w:type="dxa"/>
          </w:tcPr>
          <w:p w:rsidR="00AA10FD" w:rsidRPr="00C54BC6" w:rsidRDefault="00AA10FD" w:rsidP="009838F2">
            <w:pPr>
              <w:pStyle w:val="Estilo1"/>
              <w:rPr>
                <w:color w:val="000000"/>
                <w:sz w:val="16"/>
                <w:szCs w:val="16"/>
                <w:lang w:val="es-ES"/>
              </w:rPr>
            </w:pPr>
            <w:r w:rsidRPr="00C54BC6">
              <w:rPr>
                <w:color w:val="000000"/>
                <w:sz w:val="16"/>
                <w:szCs w:val="16"/>
                <w:lang w:val="es-ES"/>
              </w:rPr>
              <w:t>Metadatos básicos</w:t>
            </w:r>
          </w:p>
        </w:tc>
      </w:tr>
      <w:tr w:rsidR="00AA10FD" w:rsidRPr="00F60C20" w:rsidTr="009838F2">
        <w:trPr>
          <w:jc w:val="center"/>
        </w:trPr>
        <w:tc>
          <w:tcPr>
            <w:tcW w:w="3082" w:type="dxa"/>
          </w:tcPr>
          <w:p w:rsidR="00AA10FD" w:rsidRPr="00C54BC6" w:rsidRDefault="00AA10FD" w:rsidP="009838F2">
            <w:pPr>
              <w:pStyle w:val="Estilo1"/>
              <w:jc w:val="left"/>
              <w:rPr>
                <w:b/>
                <w:bCs/>
                <w:color w:val="000000"/>
                <w:sz w:val="16"/>
                <w:szCs w:val="16"/>
                <w:lang w:val="es-ES"/>
              </w:rPr>
            </w:pPr>
            <w:r w:rsidRPr="00C54BC6">
              <w:rPr>
                <w:b/>
                <w:bCs/>
                <w:color w:val="000000"/>
                <w:sz w:val="16"/>
                <w:szCs w:val="16"/>
                <w:lang w:val="es-ES"/>
              </w:rPr>
              <w:t>Empleabilidad</w:t>
            </w:r>
          </w:p>
        </w:tc>
        <w:tc>
          <w:tcPr>
            <w:tcW w:w="2601" w:type="dxa"/>
          </w:tcPr>
          <w:p w:rsidR="00AA10FD" w:rsidRPr="00C54BC6" w:rsidRDefault="00AA10FD" w:rsidP="009838F2">
            <w:pPr>
              <w:pStyle w:val="Estilo1"/>
              <w:rPr>
                <w:color w:val="000000"/>
                <w:sz w:val="16"/>
                <w:szCs w:val="16"/>
                <w:lang w:val="es-ES"/>
              </w:rPr>
            </w:pPr>
            <w:r w:rsidRPr="00C54BC6">
              <w:rPr>
                <w:color w:val="000000"/>
                <w:sz w:val="16"/>
                <w:szCs w:val="16"/>
                <w:lang w:val="es-ES"/>
              </w:rPr>
              <w:t>Demanda del Mercado</w:t>
            </w:r>
          </w:p>
        </w:tc>
      </w:tr>
      <w:tr w:rsidR="00AA10FD" w:rsidRPr="00F60C20" w:rsidTr="009838F2">
        <w:trPr>
          <w:jc w:val="center"/>
        </w:trPr>
        <w:tc>
          <w:tcPr>
            <w:tcW w:w="3082" w:type="dxa"/>
          </w:tcPr>
          <w:p w:rsidR="00AA10FD" w:rsidRPr="00C54BC6" w:rsidRDefault="00AA10FD" w:rsidP="009838F2">
            <w:pPr>
              <w:ind w:firstLine="0"/>
              <w:jc w:val="left"/>
              <w:rPr>
                <w:b/>
                <w:sz w:val="16"/>
                <w:szCs w:val="16"/>
                <w:lang w:val="es-ES"/>
              </w:rPr>
            </w:pPr>
          </w:p>
        </w:tc>
        <w:tc>
          <w:tcPr>
            <w:tcW w:w="2601" w:type="dxa"/>
          </w:tcPr>
          <w:p w:rsidR="00AA10FD" w:rsidRPr="00C54BC6" w:rsidRDefault="00AA10FD" w:rsidP="009838F2">
            <w:pPr>
              <w:pStyle w:val="Estilo1"/>
              <w:rPr>
                <w:color w:val="000000"/>
                <w:sz w:val="16"/>
                <w:szCs w:val="16"/>
                <w:lang w:val="es-ES"/>
              </w:rPr>
            </w:pPr>
            <w:r w:rsidRPr="00C54BC6">
              <w:rPr>
                <w:color w:val="000000"/>
                <w:sz w:val="16"/>
                <w:szCs w:val="16"/>
                <w:lang w:val="es-ES"/>
              </w:rPr>
              <w:t>Reconocimiento de la formación</w:t>
            </w:r>
          </w:p>
        </w:tc>
      </w:tr>
      <w:tr w:rsidR="00AA10FD" w:rsidRPr="00F60C20" w:rsidTr="009838F2">
        <w:trPr>
          <w:jc w:val="center"/>
        </w:trPr>
        <w:tc>
          <w:tcPr>
            <w:tcW w:w="3082" w:type="dxa"/>
          </w:tcPr>
          <w:p w:rsidR="00AA10FD" w:rsidRPr="00C54BC6" w:rsidRDefault="00AA10FD" w:rsidP="009838F2">
            <w:pPr>
              <w:ind w:firstLine="0"/>
              <w:jc w:val="left"/>
              <w:rPr>
                <w:b/>
                <w:sz w:val="16"/>
                <w:szCs w:val="16"/>
                <w:lang w:val="es-ES"/>
              </w:rPr>
            </w:pPr>
            <w:r w:rsidRPr="00C54BC6">
              <w:rPr>
                <w:b/>
                <w:sz w:val="16"/>
                <w:szCs w:val="16"/>
                <w:lang w:val="es-ES"/>
              </w:rPr>
              <w:t>Facilidad de asimilación</w:t>
            </w:r>
          </w:p>
        </w:tc>
        <w:tc>
          <w:tcPr>
            <w:tcW w:w="2601" w:type="dxa"/>
          </w:tcPr>
          <w:p w:rsidR="00AA10FD" w:rsidRPr="00C54BC6" w:rsidRDefault="00AA10FD" w:rsidP="009838F2">
            <w:pPr>
              <w:ind w:firstLine="0"/>
              <w:rPr>
                <w:sz w:val="16"/>
                <w:szCs w:val="16"/>
                <w:lang w:val="es-ES"/>
              </w:rPr>
            </w:pPr>
            <w:r w:rsidRPr="00C54BC6">
              <w:rPr>
                <w:color w:val="000000"/>
                <w:sz w:val="16"/>
                <w:szCs w:val="16"/>
                <w:lang w:val="es-ES"/>
              </w:rPr>
              <w:t>Interactividad</w:t>
            </w:r>
          </w:p>
        </w:tc>
      </w:tr>
      <w:tr w:rsidR="00AA10FD" w:rsidRPr="00F60C20" w:rsidTr="009838F2">
        <w:trPr>
          <w:jc w:val="center"/>
        </w:trPr>
        <w:tc>
          <w:tcPr>
            <w:tcW w:w="3082" w:type="dxa"/>
          </w:tcPr>
          <w:p w:rsidR="00AA10FD" w:rsidRPr="00C54BC6" w:rsidRDefault="00AA10FD" w:rsidP="009838F2">
            <w:pPr>
              <w:ind w:firstLine="0"/>
              <w:jc w:val="left"/>
              <w:rPr>
                <w:b/>
                <w:sz w:val="16"/>
                <w:szCs w:val="16"/>
                <w:lang w:val="es-ES"/>
              </w:rPr>
            </w:pPr>
          </w:p>
        </w:tc>
        <w:tc>
          <w:tcPr>
            <w:tcW w:w="2601" w:type="dxa"/>
          </w:tcPr>
          <w:p w:rsidR="00AA10FD" w:rsidRPr="00C54BC6" w:rsidRDefault="00AA10FD" w:rsidP="009838F2">
            <w:pPr>
              <w:ind w:firstLine="0"/>
              <w:rPr>
                <w:sz w:val="16"/>
                <w:szCs w:val="16"/>
                <w:lang w:val="es-ES"/>
              </w:rPr>
            </w:pPr>
            <w:r w:rsidRPr="00C54BC6">
              <w:rPr>
                <w:sz w:val="16"/>
                <w:szCs w:val="16"/>
                <w:lang w:val="es-ES"/>
              </w:rPr>
              <w:t>Tutorización</w:t>
            </w:r>
          </w:p>
        </w:tc>
      </w:tr>
      <w:tr w:rsidR="00AA10FD" w:rsidRPr="00F60C20" w:rsidTr="009838F2">
        <w:trPr>
          <w:jc w:val="center"/>
        </w:trPr>
        <w:tc>
          <w:tcPr>
            <w:tcW w:w="3082" w:type="dxa"/>
          </w:tcPr>
          <w:p w:rsidR="00AA10FD" w:rsidRPr="00C54BC6" w:rsidRDefault="00AA10FD" w:rsidP="009838F2">
            <w:pPr>
              <w:ind w:firstLine="0"/>
              <w:jc w:val="left"/>
              <w:rPr>
                <w:b/>
                <w:sz w:val="16"/>
                <w:szCs w:val="16"/>
                <w:lang w:val="es-ES"/>
              </w:rPr>
            </w:pPr>
            <w:r w:rsidRPr="00C54BC6">
              <w:rPr>
                <w:b/>
                <w:sz w:val="16"/>
                <w:szCs w:val="16"/>
                <w:lang w:val="es-ES"/>
              </w:rPr>
              <w:t>Accesibilidad</w:t>
            </w:r>
          </w:p>
        </w:tc>
        <w:tc>
          <w:tcPr>
            <w:tcW w:w="2601" w:type="dxa"/>
          </w:tcPr>
          <w:p w:rsidR="00AA10FD" w:rsidRPr="00C54BC6" w:rsidRDefault="00AA10FD" w:rsidP="009838F2">
            <w:pPr>
              <w:ind w:firstLine="0"/>
              <w:rPr>
                <w:sz w:val="16"/>
                <w:szCs w:val="16"/>
                <w:lang w:val="es-ES"/>
              </w:rPr>
            </w:pPr>
            <w:r w:rsidRPr="00C54BC6">
              <w:rPr>
                <w:sz w:val="16"/>
                <w:szCs w:val="16"/>
                <w:lang w:val="es-ES"/>
              </w:rPr>
              <w:t>Accesibilidad del hardware</w:t>
            </w:r>
          </w:p>
        </w:tc>
      </w:tr>
      <w:tr w:rsidR="00AA10FD" w:rsidRPr="00F60C20" w:rsidTr="009838F2">
        <w:trPr>
          <w:jc w:val="center"/>
        </w:trPr>
        <w:tc>
          <w:tcPr>
            <w:tcW w:w="3082" w:type="dxa"/>
          </w:tcPr>
          <w:p w:rsidR="00AA10FD" w:rsidRPr="00C54BC6" w:rsidRDefault="00AA10FD" w:rsidP="009838F2">
            <w:pPr>
              <w:ind w:firstLine="0"/>
              <w:jc w:val="left"/>
              <w:rPr>
                <w:b/>
                <w:sz w:val="16"/>
                <w:szCs w:val="16"/>
                <w:lang w:val="es-ES"/>
              </w:rPr>
            </w:pPr>
          </w:p>
        </w:tc>
        <w:tc>
          <w:tcPr>
            <w:tcW w:w="2601" w:type="dxa"/>
          </w:tcPr>
          <w:p w:rsidR="00AA10FD" w:rsidRPr="00C54BC6" w:rsidRDefault="00AA10FD" w:rsidP="009838F2">
            <w:pPr>
              <w:ind w:firstLine="0"/>
              <w:rPr>
                <w:sz w:val="16"/>
                <w:szCs w:val="16"/>
                <w:lang w:val="es-ES"/>
              </w:rPr>
            </w:pPr>
            <w:r w:rsidRPr="00C54BC6">
              <w:rPr>
                <w:sz w:val="16"/>
                <w:szCs w:val="16"/>
                <w:lang w:val="es-ES"/>
              </w:rPr>
              <w:t>Accesibilidad del software</w:t>
            </w:r>
          </w:p>
        </w:tc>
      </w:tr>
      <w:tr w:rsidR="00AA10FD" w:rsidRPr="00F60C20" w:rsidTr="009838F2">
        <w:trPr>
          <w:jc w:val="center"/>
        </w:trPr>
        <w:tc>
          <w:tcPr>
            <w:tcW w:w="3082" w:type="dxa"/>
            <w:tcBorders>
              <w:bottom w:val="single" w:sz="12" w:space="0" w:color="000000"/>
            </w:tcBorders>
          </w:tcPr>
          <w:p w:rsidR="00AA10FD" w:rsidRPr="00C54BC6" w:rsidRDefault="00AA10FD" w:rsidP="009838F2">
            <w:pPr>
              <w:ind w:firstLine="0"/>
              <w:jc w:val="left"/>
              <w:rPr>
                <w:b/>
                <w:sz w:val="16"/>
                <w:szCs w:val="16"/>
                <w:lang w:val="es-ES"/>
              </w:rPr>
            </w:pPr>
          </w:p>
        </w:tc>
        <w:tc>
          <w:tcPr>
            <w:tcW w:w="2601" w:type="dxa"/>
            <w:tcBorders>
              <w:bottom w:val="single" w:sz="12" w:space="0" w:color="000000"/>
            </w:tcBorders>
          </w:tcPr>
          <w:p w:rsidR="00AA10FD" w:rsidRPr="00C54BC6" w:rsidRDefault="00AA10FD" w:rsidP="009838F2">
            <w:pPr>
              <w:ind w:firstLine="0"/>
              <w:rPr>
                <w:sz w:val="16"/>
                <w:szCs w:val="16"/>
                <w:lang w:val="es-ES"/>
              </w:rPr>
            </w:pPr>
            <w:r w:rsidRPr="00C54BC6">
              <w:rPr>
                <w:sz w:val="16"/>
                <w:szCs w:val="16"/>
                <w:lang w:val="es-ES"/>
              </w:rPr>
              <w:t>Accesibilidad de los contenidos</w:t>
            </w:r>
          </w:p>
        </w:tc>
      </w:tr>
    </w:tbl>
    <w:p w:rsidR="00AA10FD" w:rsidRPr="0055090A" w:rsidRDefault="00AA10FD" w:rsidP="00AA10FD">
      <w:pPr>
        <w:ind w:firstLine="0"/>
        <w:rPr>
          <w:lang w:val="es-ES"/>
        </w:rPr>
      </w:pPr>
    </w:p>
    <w:p w:rsidR="0016352A" w:rsidRDefault="009247ED" w:rsidP="0016352A">
      <w:pPr>
        <w:rPr>
          <w:lang w:val="es-ES"/>
        </w:rPr>
      </w:pPr>
      <w:r>
        <w:rPr>
          <w:lang w:val="es-ES"/>
        </w:rPr>
        <w:t xml:space="preserve">Para cuantificar en qué grado se satisfacen </w:t>
      </w:r>
      <w:r w:rsidR="00AE7645" w:rsidRPr="00AE7645">
        <w:rPr>
          <w:lang w:val="es-ES"/>
        </w:rPr>
        <w:t xml:space="preserve">las necesidades y expectativas de clientes y alumnos, </w:t>
      </w:r>
      <w:r>
        <w:rPr>
          <w:lang w:val="es-ES"/>
        </w:rPr>
        <w:t xml:space="preserve">se han establecido </w:t>
      </w:r>
      <w:r w:rsidR="00AE7645" w:rsidRPr="00AE7645">
        <w:rPr>
          <w:lang w:val="es-ES"/>
        </w:rPr>
        <w:t>cuatro factores de satisfacción</w:t>
      </w:r>
      <w:r>
        <w:rPr>
          <w:lang w:val="es-ES"/>
        </w:rPr>
        <w:t xml:space="preserve"> críticos</w:t>
      </w:r>
      <w:r w:rsidR="00AE7645" w:rsidRPr="00AE7645">
        <w:rPr>
          <w:lang w:val="es-ES"/>
        </w:rPr>
        <w:t>:</w:t>
      </w:r>
      <w:r w:rsidR="0016352A">
        <w:rPr>
          <w:lang w:val="es-ES"/>
        </w:rPr>
        <w:t xml:space="preserve"> (a) </w:t>
      </w:r>
      <w:r w:rsidRPr="0016352A">
        <w:rPr>
          <w:b/>
          <w:lang w:val="es-ES"/>
        </w:rPr>
        <w:t>Información</w:t>
      </w:r>
      <w:r w:rsidR="0016352A" w:rsidRPr="0016352A">
        <w:rPr>
          <w:lang w:val="es-ES"/>
        </w:rPr>
        <w:t xml:space="preserve">, </w:t>
      </w:r>
      <w:r w:rsidRPr="00DE6354">
        <w:rPr>
          <w:lang w:val="es-ES"/>
        </w:rPr>
        <w:t>establece un conjunto de metadatos mínimo que han de sumin</w:t>
      </w:r>
      <w:r w:rsidR="00DE6354" w:rsidRPr="00DE6354">
        <w:rPr>
          <w:lang w:val="es-ES"/>
        </w:rPr>
        <w:t>i</w:t>
      </w:r>
      <w:r w:rsidRPr="00DE6354">
        <w:rPr>
          <w:lang w:val="es-ES"/>
        </w:rPr>
        <w:t xml:space="preserve">strarse </w:t>
      </w:r>
      <w:r w:rsidR="00DE6354" w:rsidRPr="00DE6354">
        <w:rPr>
          <w:lang w:val="es-ES"/>
        </w:rPr>
        <w:t xml:space="preserve">al cliente en la oferta de </w:t>
      </w:r>
      <w:r w:rsidRPr="00DE6354">
        <w:rPr>
          <w:lang w:val="es-ES"/>
        </w:rPr>
        <w:t>cualquier acción formativa</w:t>
      </w:r>
      <w:r w:rsidR="0016352A">
        <w:rPr>
          <w:lang w:val="es-ES"/>
        </w:rPr>
        <w:t xml:space="preserve">; (b) </w:t>
      </w:r>
      <w:r w:rsidR="003E0661" w:rsidRPr="0016352A">
        <w:rPr>
          <w:b/>
          <w:lang w:val="es-ES"/>
        </w:rPr>
        <w:t>Empleabilidad</w:t>
      </w:r>
      <w:r w:rsidR="0016352A" w:rsidRPr="0016352A">
        <w:rPr>
          <w:lang w:val="es-ES"/>
        </w:rPr>
        <w:t xml:space="preserve">, </w:t>
      </w:r>
      <w:r w:rsidR="0016352A">
        <w:rPr>
          <w:lang w:val="es-ES"/>
        </w:rPr>
        <w:t>r</w:t>
      </w:r>
      <w:r w:rsidR="00CD0B14">
        <w:rPr>
          <w:lang w:val="es-ES"/>
        </w:rPr>
        <w:t xml:space="preserve">epresenta en qué </w:t>
      </w:r>
      <w:r w:rsidR="00CD0B14" w:rsidRPr="00CD0B14">
        <w:rPr>
          <w:lang w:val="es-ES"/>
        </w:rPr>
        <w:t xml:space="preserve">medida la formación virtual incrementa la capacidad </w:t>
      </w:r>
      <w:r w:rsidR="00CD0B14">
        <w:rPr>
          <w:lang w:val="es-ES"/>
        </w:rPr>
        <w:t xml:space="preserve">del alumno </w:t>
      </w:r>
      <w:r w:rsidR="00CD0B14" w:rsidRPr="00CD0B14">
        <w:rPr>
          <w:lang w:val="es-ES"/>
        </w:rPr>
        <w:t>de integrarse en el mercado laboral o de mejorar la posición existente</w:t>
      </w:r>
      <w:r w:rsidR="0016352A">
        <w:rPr>
          <w:lang w:val="es-ES"/>
        </w:rPr>
        <w:t xml:space="preserve">; (c) </w:t>
      </w:r>
      <w:r w:rsidR="00147687" w:rsidRPr="0016352A">
        <w:rPr>
          <w:b/>
          <w:lang w:val="es-ES"/>
        </w:rPr>
        <w:t>Facilidad de asimilación</w:t>
      </w:r>
      <w:r w:rsidR="0016352A">
        <w:rPr>
          <w:lang w:val="es-ES"/>
        </w:rPr>
        <w:t>, o c</w:t>
      </w:r>
      <w:r w:rsidR="00147687" w:rsidRPr="00BC27AF">
        <w:rPr>
          <w:lang w:val="es-ES"/>
        </w:rPr>
        <w:t>apacidad de la acción formativa virtual para estimular al usuario con el fin de entender los contenidos y favorecer el aprendizaje</w:t>
      </w:r>
      <w:r w:rsidR="0016352A">
        <w:rPr>
          <w:lang w:val="es-ES"/>
        </w:rPr>
        <w:t xml:space="preserve">; y (d) </w:t>
      </w:r>
      <w:r w:rsidR="00147687" w:rsidRPr="0016352A">
        <w:rPr>
          <w:b/>
          <w:lang w:val="es-ES"/>
        </w:rPr>
        <w:t>Accesibilidad</w:t>
      </w:r>
      <w:r w:rsidR="0016352A">
        <w:rPr>
          <w:lang w:val="es-ES"/>
        </w:rPr>
        <w:t>, f</w:t>
      </w:r>
      <w:r w:rsidR="00575BE1">
        <w:rPr>
          <w:lang w:val="es-ES"/>
        </w:rPr>
        <w:t xml:space="preserve">actor que trata de cuantificar en </w:t>
      </w:r>
      <w:r w:rsidR="00575BE1" w:rsidRPr="00575BE1">
        <w:rPr>
          <w:lang w:val="es-ES"/>
        </w:rPr>
        <w:t>qué medida la formación virtual puede ser comprensible, utilizable y practicable con eficiencia y eficacia  por cualquier persona</w:t>
      </w:r>
      <w:r w:rsidR="00575BE1">
        <w:rPr>
          <w:lang w:val="es-ES"/>
        </w:rPr>
        <w:t xml:space="preserve">. </w:t>
      </w:r>
    </w:p>
    <w:p w:rsidR="002B3EF3" w:rsidRPr="007C7487" w:rsidRDefault="0054639F" w:rsidP="002B3EF3">
      <w:pPr>
        <w:rPr>
          <w:lang w:val="es-ES"/>
        </w:rPr>
      </w:pPr>
      <w:r>
        <w:rPr>
          <w:lang w:val="es-ES"/>
        </w:rPr>
        <w:t>E</w:t>
      </w:r>
      <w:r w:rsidR="00AE7645" w:rsidRPr="002B57A4">
        <w:rPr>
          <w:lang w:val="es-ES"/>
        </w:rPr>
        <w:t xml:space="preserve">n </w:t>
      </w:r>
      <w:r w:rsidR="00AE7645">
        <w:rPr>
          <w:lang w:val="es-ES"/>
        </w:rPr>
        <w:t xml:space="preserve">el estándar, los </w:t>
      </w:r>
      <w:r w:rsidR="00AE7645" w:rsidRPr="002B57A4">
        <w:rPr>
          <w:lang w:val="es-ES"/>
        </w:rPr>
        <w:t xml:space="preserve">factores de satisfacción se presentan en una graduación de 5 niveles de calidad. La escala va desde el nivel 1 “INICIAL” hasta el nivel 5 “EXCELENTE”, con objeto de que los clientes y usuarios posean mayor información </w:t>
      </w:r>
      <w:r w:rsidR="00AE7645" w:rsidRPr="002B57A4">
        <w:rPr>
          <w:lang w:val="es-ES"/>
        </w:rPr>
        <w:lastRenderedPageBreak/>
        <w:t>sobre la oferta formativa y pueda ser comparada. Para alcanzar un nivel se deben cumplir todos los requisitos especificados en él y además los de los niveles anteriores</w:t>
      </w:r>
      <w:r w:rsidR="00AE7645">
        <w:rPr>
          <w:lang w:val="es-ES"/>
        </w:rPr>
        <w:t>.</w:t>
      </w:r>
      <w:r w:rsidR="00DA5485">
        <w:rPr>
          <w:lang w:val="es-ES"/>
        </w:rPr>
        <w:t xml:space="preserve"> </w:t>
      </w:r>
      <w:r w:rsidR="002B3EF3" w:rsidRPr="007C7487">
        <w:rPr>
          <w:lang w:val="es-ES"/>
        </w:rPr>
        <w:t>Los clientes pueden utilizar esta norma para comparar la oferta formativa con los niveles de calidad sobre el grado de empleabilidad que le aportará la acción formativa, el grado de facilidad de asimilación y el grado de accesibilidad</w:t>
      </w:r>
      <w:r w:rsidR="000440DB">
        <w:rPr>
          <w:lang w:val="es-ES"/>
        </w:rPr>
        <w:t>;</w:t>
      </w:r>
      <w:r w:rsidR="002B3EF3" w:rsidRPr="007C7487">
        <w:rPr>
          <w:lang w:val="es-ES"/>
        </w:rPr>
        <w:t xml:space="preserve"> además de otra información general de utilidad.</w:t>
      </w:r>
      <w:r w:rsidR="002B3EF3">
        <w:rPr>
          <w:lang w:val="es-ES"/>
        </w:rPr>
        <w:t xml:space="preserve"> </w:t>
      </w:r>
      <w:r w:rsidR="002B3EF3" w:rsidRPr="007C7487">
        <w:rPr>
          <w:lang w:val="es-ES"/>
        </w:rPr>
        <w:t>De esta forma</w:t>
      </w:r>
      <w:r w:rsidR="000440DB">
        <w:rPr>
          <w:lang w:val="es-ES"/>
        </w:rPr>
        <w:t>,</w:t>
      </w:r>
      <w:r w:rsidR="002B3EF3" w:rsidRPr="007C7487">
        <w:rPr>
          <w:lang w:val="es-ES"/>
        </w:rPr>
        <w:t xml:space="preserve"> el cliente obtendrá una valoración global del nivel de satisfacción que le puede proporcionar la oferta formativa y, por tanto, seleccionar la que más se adecúa a sus necesidades y expectativas.</w:t>
      </w:r>
    </w:p>
    <w:p w:rsidR="00296444" w:rsidRPr="002B3EF3" w:rsidRDefault="004E7411">
      <w:pPr>
        <w:pStyle w:val="heading1"/>
        <w:outlineLvl w:val="0"/>
        <w:rPr>
          <w:lang w:val="es-ES"/>
        </w:rPr>
      </w:pPr>
      <w:r>
        <w:rPr>
          <w:lang w:val="es-ES"/>
        </w:rPr>
        <w:t>3</w:t>
      </w:r>
      <w:r w:rsidR="00296444" w:rsidRPr="002B3EF3">
        <w:rPr>
          <w:lang w:val="es-ES"/>
        </w:rPr>
        <w:t xml:space="preserve">   C</w:t>
      </w:r>
      <w:r w:rsidR="0017424D" w:rsidRPr="002B3EF3">
        <w:rPr>
          <w:lang w:val="es-ES"/>
        </w:rPr>
        <w:t>onclusion</w:t>
      </w:r>
      <w:r w:rsidR="009165B3" w:rsidRPr="002B3EF3">
        <w:rPr>
          <w:lang w:val="es-ES"/>
        </w:rPr>
        <w:t>e</w:t>
      </w:r>
      <w:r w:rsidR="0017424D" w:rsidRPr="002B3EF3">
        <w:rPr>
          <w:lang w:val="es-ES"/>
        </w:rPr>
        <w:t>s</w:t>
      </w:r>
    </w:p>
    <w:p w:rsidR="00634177" w:rsidRPr="00634177" w:rsidRDefault="00804B98" w:rsidP="00804B98">
      <w:pPr>
        <w:ind w:firstLine="0"/>
        <w:rPr>
          <w:lang w:val="es-ES"/>
        </w:rPr>
      </w:pPr>
      <w:r>
        <w:rPr>
          <w:lang w:val="es-ES"/>
        </w:rPr>
        <w:t xml:space="preserve">La </w:t>
      </w:r>
      <w:r w:rsidR="00D335BB" w:rsidRPr="00D335BB">
        <w:rPr>
          <w:lang w:val="es-ES"/>
        </w:rPr>
        <w:t xml:space="preserve">norma </w:t>
      </w:r>
      <w:r>
        <w:rPr>
          <w:lang w:val="es-ES"/>
        </w:rPr>
        <w:t xml:space="preserve">UNE 66181 </w:t>
      </w:r>
      <w:r w:rsidR="00D335BB" w:rsidRPr="00D335BB">
        <w:rPr>
          <w:lang w:val="es-ES"/>
        </w:rPr>
        <w:t>pretende ser una guía para identificar las características de las acciones formativas virtuales, de forma que los compradores de formación virtual puedan seleccionar los productos que mejor se adapten a sus necesidades y expectativas, y para que los suministradores puedan mejorar su oferta y con ello la satisfac</w:t>
      </w:r>
      <w:r w:rsidR="006C7A83">
        <w:rPr>
          <w:lang w:val="es-ES"/>
        </w:rPr>
        <w:t>ción de sus clientes o alumnos.</w:t>
      </w:r>
      <w:r>
        <w:rPr>
          <w:lang w:val="es-ES"/>
        </w:rPr>
        <w:t xml:space="preserve"> </w:t>
      </w:r>
      <w:r w:rsidR="006C7A83">
        <w:rPr>
          <w:lang w:val="es-ES"/>
        </w:rPr>
        <w:t xml:space="preserve">A </w:t>
      </w:r>
      <w:r w:rsidR="009C3E3E">
        <w:rPr>
          <w:lang w:val="es-ES"/>
        </w:rPr>
        <w:t xml:space="preserve">partir de los debates llevados a cabo en </w:t>
      </w:r>
      <w:r w:rsidR="006C7A83">
        <w:rPr>
          <w:lang w:val="es-ES"/>
        </w:rPr>
        <w:t>los eventos en los que se ha presentado la norma, de las opiniones recogidas durante el periodo de información pública y de los resultados del proceso de val</w:t>
      </w:r>
      <w:r w:rsidR="009C3CE9">
        <w:rPr>
          <w:lang w:val="es-ES"/>
        </w:rPr>
        <w:t xml:space="preserve">idación, se </w:t>
      </w:r>
      <w:r w:rsidR="00C54BC6">
        <w:rPr>
          <w:lang w:val="es-ES"/>
        </w:rPr>
        <w:t>puede deducir</w:t>
      </w:r>
      <w:r w:rsidR="009C3CE9">
        <w:rPr>
          <w:lang w:val="es-ES"/>
        </w:rPr>
        <w:t xml:space="preserve"> que la norma, de voluntario seguimiento, será ampliamente utilizada por los agentes participantes en el mercado de de la formación virtual</w:t>
      </w:r>
      <w:r w:rsidR="00E237F9">
        <w:rPr>
          <w:lang w:val="es-ES"/>
        </w:rPr>
        <w:t>;</w:t>
      </w:r>
      <w:r w:rsidR="009C3E3E">
        <w:rPr>
          <w:lang w:val="es-ES"/>
        </w:rPr>
        <w:t xml:space="preserve"> lo cual, si efectivamente así ocurre, </w:t>
      </w:r>
      <w:r w:rsidR="009C3E3E" w:rsidRPr="009C3E3E">
        <w:rPr>
          <w:lang w:val="es-ES"/>
        </w:rPr>
        <w:t xml:space="preserve">aumentará la transparencia y la confianza en la </w:t>
      </w:r>
      <w:r w:rsidR="009C3E3E">
        <w:rPr>
          <w:lang w:val="es-ES"/>
        </w:rPr>
        <w:t xml:space="preserve">calidad de la </w:t>
      </w:r>
      <w:r w:rsidR="009C3E3E" w:rsidRPr="009C3E3E">
        <w:rPr>
          <w:lang w:val="es-ES"/>
        </w:rPr>
        <w:t>formación virtual</w:t>
      </w:r>
      <w:r w:rsidR="009C3E3E">
        <w:rPr>
          <w:lang w:val="es-ES"/>
        </w:rPr>
        <w:t>.</w:t>
      </w:r>
    </w:p>
    <w:p w:rsidR="00296444" w:rsidRPr="009806CE" w:rsidRDefault="00296444">
      <w:pPr>
        <w:pStyle w:val="heading1"/>
        <w:outlineLvl w:val="0"/>
      </w:pPr>
      <w:r w:rsidRPr="00C54BC6">
        <w:rPr>
          <w:lang w:val="es-ES"/>
        </w:rPr>
        <w:t>Referenc</w:t>
      </w:r>
      <w:r w:rsidR="00634177" w:rsidRPr="00C54BC6">
        <w:rPr>
          <w:lang w:val="es-ES"/>
        </w:rPr>
        <w:t>ias</w:t>
      </w:r>
    </w:p>
    <w:p w:rsidR="007570B6" w:rsidRDefault="007570B6" w:rsidP="007570B6">
      <w:pPr>
        <w:pStyle w:val="referenceitem"/>
        <w:numPr>
          <w:ilvl w:val="0"/>
          <w:numId w:val="8"/>
        </w:numPr>
        <w:ind w:left="426"/>
      </w:pPr>
      <w:r>
        <w:t>ISO/IEC 19796-1:2005, Information technology -- Learning, education and training -- Quality management, assurance and metrics -- Part 1: General approach.International Standard Organization, Geneve, Switzerland (2005).</w:t>
      </w:r>
    </w:p>
    <w:p w:rsidR="007570B6" w:rsidRDefault="007570B6" w:rsidP="007570B6">
      <w:pPr>
        <w:pStyle w:val="referenceitem"/>
        <w:numPr>
          <w:ilvl w:val="0"/>
          <w:numId w:val="8"/>
        </w:numPr>
        <w:ind w:left="426"/>
      </w:pPr>
      <w:r>
        <w:t>ISO/IEC 19778:2008, Information technology -- Learning, education and training -- Collaborative technology. International Standard Organization, Geneve, Switzerland (2008).</w:t>
      </w:r>
    </w:p>
    <w:p w:rsidR="007570B6" w:rsidRDefault="007570B6" w:rsidP="007570B6">
      <w:pPr>
        <w:pStyle w:val="referenceitem"/>
        <w:numPr>
          <w:ilvl w:val="0"/>
          <w:numId w:val="8"/>
        </w:numPr>
        <w:ind w:left="426"/>
      </w:pPr>
      <w:r>
        <w:t>ISO/IEC 2382-36:2008, Information technology -- Vocabulary -- Part 36: Learning, education and training. International Standard Organization, Geneve, Switzerland (2008).</w:t>
      </w:r>
    </w:p>
    <w:p w:rsidR="007570B6" w:rsidRDefault="007570B6" w:rsidP="007570B6">
      <w:pPr>
        <w:pStyle w:val="referenceitem"/>
        <w:numPr>
          <w:ilvl w:val="0"/>
          <w:numId w:val="8"/>
        </w:numPr>
        <w:ind w:left="426"/>
        <w:rPr>
          <w:lang w:val="es-ES"/>
        </w:rPr>
      </w:pPr>
      <w:r w:rsidRPr="009806CE">
        <w:rPr>
          <w:lang w:val="es-ES"/>
        </w:rPr>
        <w:t>UNE 66181</w:t>
      </w:r>
      <w:r w:rsidR="00CF2B73">
        <w:rPr>
          <w:lang w:val="es-ES"/>
        </w:rPr>
        <w:t>:2008</w:t>
      </w:r>
      <w:r w:rsidRPr="009806CE">
        <w:rPr>
          <w:lang w:val="es-ES"/>
        </w:rPr>
        <w:t xml:space="preserve">, </w:t>
      </w:r>
      <w:r>
        <w:rPr>
          <w:lang w:val="es-ES"/>
        </w:rPr>
        <w:t>Gestión</w:t>
      </w:r>
      <w:r w:rsidRPr="009806CE">
        <w:rPr>
          <w:lang w:val="es-ES"/>
        </w:rPr>
        <w:t xml:space="preserve"> de la calidad. Calidad de la Formación Virtual</w:t>
      </w:r>
      <w:r>
        <w:rPr>
          <w:lang w:val="es-ES"/>
        </w:rPr>
        <w:t xml:space="preserve">. AENOR: </w:t>
      </w:r>
      <w:r w:rsidRPr="009806CE">
        <w:rPr>
          <w:lang w:val="es-ES"/>
        </w:rPr>
        <w:t>Spanish Association for Standardization and Certification</w:t>
      </w:r>
      <w:r>
        <w:rPr>
          <w:lang w:val="es-ES"/>
        </w:rPr>
        <w:t>, Madrid, Spain (2008).</w:t>
      </w:r>
    </w:p>
    <w:p w:rsidR="00EB5B84" w:rsidRDefault="00EB5B84" w:rsidP="007570B6">
      <w:pPr>
        <w:pStyle w:val="referenceitem"/>
        <w:numPr>
          <w:ilvl w:val="0"/>
          <w:numId w:val="8"/>
        </w:numPr>
        <w:ind w:left="426"/>
        <w:rPr>
          <w:lang w:val="es-ES"/>
        </w:rPr>
      </w:pPr>
      <w:r>
        <w:rPr>
          <w:lang w:val="es-ES"/>
        </w:rPr>
        <w:t xml:space="preserve">Rivera, E., Orbea, T. “Cómo seleccionar la formación .com”, </w:t>
      </w:r>
      <w:r w:rsidRPr="00EB5B84">
        <w:rPr>
          <w:lang w:val="es-ES"/>
        </w:rPr>
        <w:t>UNE: boletín mensual de AENOR</w:t>
      </w:r>
      <w:r>
        <w:rPr>
          <w:lang w:val="es-ES"/>
        </w:rPr>
        <w:t>, no.</w:t>
      </w:r>
      <w:r w:rsidRPr="00EB5B84">
        <w:rPr>
          <w:lang w:val="es-ES"/>
        </w:rPr>
        <w:t xml:space="preserve"> 228, </w:t>
      </w:r>
      <w:r>
        <w:rPr>
          <w:lang w:val="es-ES"/>
        </w:rPr>
        <w:t xml:space="preserve">pp. </w:t>
      </w:r>
      <w:r w:rsidRPr="00EB5B84">
        <w:rPr>
          <w:lang w:val="es-ES"/>
        </w:rPr>
        <w:t>14-19</w:t>
      </w:r>
      <w:r>
        <w:rPr>
          <w:lang w:val="es-ES"/>
        </w:rPr>
        <w:t>, 2008.</w:t>
      </w:r>
    </w:p>
    <w:p w:rsidR="009806CE" w:rsidRDefault="009806CE" w:rsidP="009806CE">
      <w:pPr>
        <w:pStyle w:val="referenceitem"/>
        <w:numPr>
          <w:ilvl w:val="0"/>
          <w:numId w:val="8"/>
        </w:numPr>
        <w:ind w:left="426"/>
      </w:pPr>
      <w:r>
        <w:t>ISO 9001:2000, Quality management systems -- Requirements. International Standard Organization, Geneve, Switzerland (2000).</w:t>
      </w:r>
    </w:p>
    <w:sectPr w:rsidR="009806CE" w:rsidSect="00DA551C">
      <w:pgSz w:w="11907" w:h="16840" w:code="9"/>
      <w:pgMar w:top="2948" w:right="2495" w:bottom="2948" w:left="2495" w:header="2381" w:footer="138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FF3" w:rsidRDefault="00D36FF3">
      <w:r>
        <w:separator/>
      </w:r>
    </w:p>
  </w:endnote>
  <w:endnote w:type="continuationSeparator" w:id="0">
    <w:p w:rsidR="00D36FF3" w:rsidRDefault="00D3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FF3" w:rsidRDefault="00D36FF3">
      <w:r>
        <w:separator/>
      </w:r>
    </w:p>
  </w:footnote>
  <w:footnote w:type="continuationSeparator" w:id="0">
    <w:p w:rsidR="00D36FF3" w:rsidRDefault="00D36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numFmt w:val="none"/>
      <w:lvlText w:val=""/>
      <w:lvlJc w:val="left"/>
    </w:lvl>
    <w:lvl w:ilvl="1">
      <w:numFmt w:val="none"/>
      <w:lvlText w:val=""/>
      <w:lvlJc w:val="left"/>
    </w:lvl>
    <w:lvl w:ilvl="2">
      <w:numFmt w:val="none"/>
      <w:lvlText w:val=""/>
      <w:lvlJc w:val="left"/>
    </w:lvl>
    <w:lvl w:ilvl="3">
      <w:numFmt w:val="decimal"/>
      <w:pStyle w:val="Ttulo4"/>
      <w:lvlText w:val="%4"/>
      <w:legacy w:legacy="1" w:legacySpace="0" w:legacyIndent="0"/>
      <w:lvlJc w:val="left"/>
      <w:rPr>
        <w:rFonts w:ascii="Times New Roman" w:hAnsi="Times New Roman" w:hint="default"/>
      </w:rPr>
    </w:lvl>
    <w:lvl w:ilvl="4">
      <w:numFmt w:val="decimal"/>
      <w:pStyle w:val="Ttulo5"/>
      <w:lvlText w:val="%5"/>
      <w:legacy w:legacy="1" w:legacySpace="0" w:legacyIndent="0"/>
      <w:lvlJc w:val="left"/>
      <w:rPr>
        <w:rFonts w:ascii="Times New Roman" w:hAnsi="Times New Roman" w:hint="default"/>
      </w:rPr>
    </w:lvl>
    <w:lvl w:ilvl="5">
      <w:numFmt w:val="decimal"/>
      <w:pStyle w:val="Ttulo6"/>
      <w:lvlText w:val="%6"/>
      <w:legacy w:legacy="1" w:legacySpace="0" w:legacyIndent="0"/>
      <w:lvlJc w:val="left"/>
      <w:rPr>
        <w:rFonts w:ascii="Times New Roman" w:hAnsi="Times New Roman" w:hint="default"/>
      </w:rPr>
    </w:lvl>
    <w:lvl w:ilvl="6">
      <w:numFmt w:val="decimal"/>
      <w:pStyle w:val="Ttulo7"/>
      <w:lvlText w:val="%7"/>
      <w:legacy w:legacy="1" w:legacySpace="0" w:legacyIndent="0"/>
      <w:lvlJc w:val="left"/>
      <w:rPr>
        <w:rFonts w:ascii="Times New Roman" w:hAnsi="Times New Roman" w:hint="default"/>
      </w:rPr>
    </w:lvl>
    <w:lvl w:ilvl="7">
      <w:numFmt w:val="decimal"/>
      <w:pStyle w:val="Ttulo8"/>
      <w:lvlText w:val="%8"/>
      <w:legacy w:legacy="1" w:legacySpace="0" w:legacyIndent="0"/>
      <w:lvlJc w:val="left"/>
      <w:rPr>
        <w:rFonts w:ascii="Times New Roman" w:hAnsi="Times New Roman" w:hint="default"/>
      </w:rPr>
    </w:lvl>
    <w:lvl w:ilvl="8">
      <w:numFmt w:val="decimal"/>
      <w:pStyle w:val="Ttulo9"/>
      <w:lvlText w:val="%9"/>
      <w:legacy w:legacy="1" w:legacySpace="0" w:legacyIndent="0"/>
      <w:lvlJc w:val="left"/>
      <w:rPr>
        <w:rFonts w:ascii="Times New Roman" w:hAnsi="Times New Roman" w:hint="default"/>
      </w:rPr>
    </w:lvl>
  </w:abstractNum>
  <w:abstractNum w:abstractNumId="1">
    <w:nsid w:val="FFFFFFFE"/>
    <w:multiLevelType w:val="singleLevel"/>
    <w:tmpl w:val="FFFFFFFF"/>
    <w:lvl w:ilvl="0">
      <w:numFmt w:val="decimal"/>
      <w:lvlText w:val="*"/>
      <w:lvlJc w:val="left"/>
    </w:lvl>
  </w:abstractNum>
  <w:abstractNum w:abstractNumId="2">
    <w:nsid w:val="076E4821"/>
    <w:multiLevelType w:val="hybridMultilevel"/>
    <w:tmpl w:val="793C5D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6D744C4"/>
    <w:multiLevelType w:val="hybridMultilevel"/>
    <w:tmpl w:val="B3AC7506"/>
    <w:lvl w:ilvl="0" w:tplc="0C0A0001">
      <w:start w:val="1"/>
      <w:numFmt w:val="bullet"/>
      <w:lvlText w:val=""/>
      <w:lvlJc w:val="left"/>
      <w:pPr>
        <w:ind w:left="587" w:hanging="360"/>
      </w:pPr>
      <w:rPr>
        <w:rFonts w:ascii="Symbol" w:hAnsi="Symbol" w:hint="default"/>
      </w:rPr>
    </w:lvl>
    <w:lvl w:ilvl="1" w:tplc="0C0A0003" w:tentative="1">
      <w:start w:val="1"/>
      <w:numFmt w:val="bullet"/>
      <w:lvlText w:val="o"/>
      <w:lvlJc w:val="left"/>
      <w:pPr>
        <w:ind w:left="1307" w:hanging="360"/>
      </w:pPr>
      <w:rPr>
        <w:rFonts w:ascii="Courier New" w:hAnsi="Courier New" w:cs="Courier New" w:hint="default"/>
      </w:rPr>
    </w:lvl>
    <w:lvl w:ilvl="2" w:tplc="0C0A0005" w:tentative="1">
      <w:start w:val="1"/>
      <w:numFmt w:val="bullet"/>
      <w:lvlText w:val=""/>
      <w:lvlJc w:val="left"/>
      <w:pPr>
        <w:ind w:left="2027" w:hanging="360"/>
      </w:pPr>
      <w:rPr>
        <w:rFonts w:ascii="Wingdings" w:hAnsi="Wingdings" w:hint="default"/>
      </w:rPr>
    </w:lvl>
    <w:lvl w:ilvl="3" w:tplc="0C0A0001" w:tentative="1">
      <w:start w:val="1"/>
      <w:numFmt w:val="bullet"/>
      <w:lvlText w:val=""/>
      <w:lvlJc w:val="left"/>
      <w:pPr>
        <w:ind w:left="2747" w:hanging="360"/>
      </w:pPr>
      <w:rPr>
        <w:rFonts w:ascii="Symbol" w:hAnsi="Symbol" w:hint="default"/>
      </w:rPr>
    </w:lvl>
    <w:lvl w:ilvl="4" w:tplc="0C0A0003" w:tentative="1">
      <w:start w:val="1"/>
      <w:numFmt w:val="bullet"/>
      <w:lvlText w:val="o"/>
      <w:lvlJc w:val="left"/>
      <w:pPr>
        <w:ind w:left="3467" w:hanging="360"/>
      </w:pPr>
      <w:rPr>
        <w:rFonts w:ascii="Courier New" w:hAnsi="Courier New" w:cs="Courier New" w:hint="default"/>
      </w:rPr>
    </w:lvl>
    <w:lvl w:ilvl="5" w:tplc="0C0A0005" w:tentative="1">
      <w:start w:val="1"/>
      <w:numFmt w:val="bullet"/>
      <w:lvlText w:val=""/>
      <w:lvlJc w:val="left"/>
      <w:pPr>
        <w:ind w:left="4187" w:hanging="360"/>
      </w:pPr>
      <w:rPr>
        <w:rFonts w:ascii="Wingdings" w:hAnsi="Wingdings" w:hint="default"/>
      </w:rPr>
    </w:lvl>
    <w:lvl w:ilvl="6" w:tplc="0C0A0001" w:tentative="1">
      <w:start w:val="1"/>
      <w:numFmt w:val="bullet"/>
      <w:lvlText w:val=""/>
      <w:lvlJc w:val="left"/>
      <w:pPr>
        <w:ind w:left="4907" w:hanging="360"/>
      </w:pPr>
      <w:rPr>
        <w:rFonts w:ascii="Symbol" w:hAnsi="Symbol" w:hint="default"/>
      </w:rPr>
    </w:lvl>
    <w:lvl w:ilvl="7" w:tplc="0C0A0003" w:tentative="1">
      <w:start w:val="1"/>
      <w:numFmt w:val="bullet"/>
      <w:lvlText w:val="o"/>
      <w:lvlJc w:val="left"/>
      <w:pPr>
        <w:ind w:left="5627" w:hanging="360"/>
      </w:pPr>
      <w:rPr>
        <w:rFonts w:ascii="Courier New" w:hAnsi="Courier New" w:cs="Courier New" w:hint="default"/>
      </w:rPr>
    </w:lvl>
    <w:lvl w:ilvl="8" w:tplc="0C0A0005" w:tentative="1">
      <w:start w:val="1"/>
      <w:numFmt w:val="bullet"/>
      <w:lvlText w:val=""/>
      <w:lvlJc w:val="left"/>
      <w:pPr>
        <w:ind w:left="6347" w:hanging="360"/>
      </w:pPr>
      <w:rPr>
        <w:rFonts w:ascii="Wingdings" w:hAnsi="Wingdings" w:hint="default"/>
      </w:rPr>
    </w:lvl>
  </w:abstractNum>
  <w:abstractNum w:abstractNumId="4">
    <w:nsid w:val="2B894F4F"/>
    <w:multiLevelType w:val="hybridMultilevel"/>
    <w:tmpl w:val="7E9EFA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59A44468"/>
    <w:multiLevelType w:val="hybridMultilevel"/>
    <w:tmpl w:val="E2BAA0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AF66859"/>
    <w:multiLevelType w:val="hybridMultilevel"/>
    <w:tmpl w:val="B614A3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21446DA"/>
    <w:multiLevelType w:val="hybridMultilevel"/>
    <w:tmpl w:val="5484D6C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27"/>
        <w:lvlJc w:val="left"/>
        <w:pPr>
          <w:ind w:left="227" w:hanging="227"/>
        </w:pPr>
        <w:rPr>
          <w:rFonts w:ascii="Symbol" w:hAnsi="Symbol" w:hint="default"/>
        </w:rPr>
      </w:lvl>
    </w:lvlOverride>
  </w:num>
  <w:num w:numId="3">
    <w:abstractNumId w:val="4"/>
  </w:num>
  <w:num w:numId="4">
    <w:abstractNumId w:val="3"/>
  </w:num>
  <w:num w:numId="5">
    <w:abstractNumId w:val="7"/>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B6"/>
    <w:rsid w:val="0001012F"/>
    <w:rsid w:val="0001632B"/>
    <w:rsid w:val="000440DB"/>
    <w:rsid w:val="00092A57"/>
    <w:rsid w:val="000B1406"/>
    <w:rsid w:val="000C4D0C"/>
    <w:rsid w:val="000C7D0D"/>
    <w:rsid w:val="000E42F1"/>
    <w:rsid w:val="00101719"/>
    <w:rsid w:val="00147687"/>
    <w:rsid w:val="0016352A"/>
    <w:rsid w:val="0017399C"/>
    <w:rsid w:val="0017424D"/>
    <w:rsid w:val="001754DE"/>
    <w:rsid w:val="0018226F"/>
    <w:rsid w:val="00195961"/>
    <w:rsid w:val="001A36F8"/>
    <w:rsid w:val="001C26D7"/>
    <w:rsid w:val="001E3BC2"/>
    <w:rsid w:val="00203EDD"/>
    <w:rsid w:val="002264FB"/>
    <w:rsid w:val="00245D88"/>
    <w:rsid w:val="00296444"/>
    <w:rsid w:val="002A087D"/>
    <w:rsid w:val="002B3EF3"/>
    <w:rsid w:val="002B57A4"/>
    <w:rsid w:val="002C19E6"/>
    <w:rsid w:val="002D75D1"/>
    <w:rsid w:val="00304DEE"/>
    <w:rsid w:val="003423F1"/>
    <w:rsid w:val="0037305A"/>
    <w:rsid w:val="003A622F"/>
    <w:rsid w:val="003C0837"/>
    <w:rsid w:val="003E0661"/>
    <w:rsid w:val="004020D0"/>
    <w:rsid w:val="00406D43"/>
    <w:rsid w:val="00423A0B"/>
    <w:rsid w:val="00442984"/>
    <w:rsid w:val="00482D61"/>
    <w:rsid w:val="0048328F"/>
    <w:rsid w:val="00492312"/>
    <w:rsid w:val="004A62EC"/>
    <w:rsid w:val="004E4996"/>
    <w:rsid w:val="004E7411"/>
    <w:rsid w:val="0050305A"/>
    <w:rsid w:val="005317DC"/>
    <w:rsid w:val="0054639F"/>
    <w:rsid w:val="0055090A"/>
    <w:rsid w:val="0056569C"/>
    <w:rsid w:val="00575BE1"/>
    <w:rsid w:val="005E768B"/>
    <w:rsid w:val="00600F7B"/>
    <w:rsid w:val="00610EFA"/>
    <w:rsid w:val="00634177"/>
    <w:rsid w:val="00642B4C"/>
    <w:rsid w:val="00684DEF"/>
    <w:rsid w:val="006B7F83"/>
    <w:rsid w:val="006C7A83"/>
    <w:rsid w:val="00717982"/>
    <w:rsid w:val="007570B6"/>
    <w:rsid w:val="00771702"/>
    <w:rsid w:val="007A4EC9"/>
    <w:rsid w:val="007C7487"/>
    <w:rsid w:val="007E4EF1"/>
    <w:rsid w:val="00802370"/>
    <w:rsid w:val="00804B98"/>
    <w:rsid w:val="0082372A"/>
    <w:rsid w:val="008327EB"/>
    <w:rsid w:val="008827D7"/>
    <w:rsid w:val="008C6982"/>
    <w:rsid w:val="008D3469"/>
    <w:rsid w:val="00900D3A"/>
    <w:rsid w:val="00913AD6"/>
    <w:rsid w:val="009165B3"/>
    <w:rsid w:val="0092013D"/>
    <w:rsid w:val="009247ED"/>
    <w:rsid w:val="0095067E"/>
    <w:rsid w:val="00961CCE"/>
    <w:rsid w:val="00962FE0"/>
    <w:rsid w:val="00963FFE"/>
    <w:rsid w:val="009806CE"/>
    <w:rsid w:val="009838F2"/>
    <w:rsid w:val="00991A3A"/>
    <w:rsid w:val="0099464F"/>
    <w:rsid w:val="009A2085"/>
    <w:rsid w:val="009A515D"/>
    <w:rsid w:val="009B431A"/>
    <w:rsid w:val="009C02D8"/>
    <w:rsid w:val="009C18C3"/>
    <w:rsid w:val="009C3CE9"/>
    <w:rsid w:val="009C3E3E"/>
    <w:rsid w:val="009C47AC"/>
    <w:rsid w:val="00A45F03"/>
    <w:rsid w:val="00A5647B"/>
    <w:rsid w:val="00A603FB"/>
    <w:rsid w:val="00A65D34"/>
    <w:rsid w:val="00A95D26"/>
    <w:rsid w:val="00AA10FD"/>
    <w:rsid w:val="00AA1717"/>
    <w:rsid w:val="00AB5542"/>
    <w:rsid w:val="00AE6AB2"/>
    <w:rsid w:val="00AE7645"/>
    <w:rsid w:val="00B26937"/>
    <w:rsid w:val="00B97651"/>
    <w:rsid w:val="00BC27AF"/>
    <w:rsid w:val="00C0419A"/>
    <w:rsid w:val="00C54BC6"/>
    <w:rsid w:val="00C84775"/>
    <w:rsid w:val="00CD0B14"/>
    <w:rsid w:val="00CD2291"/>
    <w:rsid w:val="00CF2B73"/>
    <w:rsid w:val="00D035D9"/>
    <w:rsid w:val="00D13529"/>
    <w:rsid w:val="00D252AB"/>
    <w:rsid w:val="00D335BB"/>
    <w:rsid w:val="00D36E97"/>
    <w:rsid w:val="00D36FF3"/>
    <w:rsid w:val="00D474BA"/>
    <w:rsid w:val="00D55DB6"/>
    <w:rsid w:val="00DA5485"/>
    <w:rsid w:val="00DA551C"/>
    <w:rsid w:val="00DB1F62"/>
    <w:rsid w:val="00DC6413"/>
    <w:rsid w:val="00DE293E"/>
    <w:rsid w:val="00DE6354"/>
    <w:rsid w:val="00E22761"/>
    <w:rsid w:val="00E237F9"/>
    <w:rsid w:val="00EB5B84"/>
    <w:rsid w:val="00ED1DE1"/>
    <w:rsid w:val="00EE72FB"/>
    <w:rsid w:val="00EF49AF"/>
    <w:rsid w:val="00F30DDF"/>
    <w:rsid w:val="00F5647A"/>
    <w:rsid w:val="00F60C20"/>
    <w:rsid w:val="00F826F7"/>
    <w:rsid w:val="00FE25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F16E56-79FC-452E-AC8F-10E7E54B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27"/>
      <w:jc w:val="both"/>
    </w:pPr>
    <w:rPr>
      <w:rFonts w:ascii="Times" w:hAnsi="Times"/>
      <w:lang w:val="en-US"/>
    </w:rPr>
  </w:style>
  <w:style w:type="paragraph" w:styleId="Ttulo1">
    <w:name w:val="heading 1"/>
    <w:basedOn w:val="Normal"/>
    <w:next w:val="Normal"/>
    <w:qFormat/>
    <w:pPr>
      <w:keepNext/>
      <w:keepLines/>
      <w:pageBreakBefore/>
      <w:tabs>
        <w:tab w:val="left" w:pos="284"/>
      </w:tabs>
      <w:suppressAutoHyphens/>
      <w:spacing w:after="1600" w:line="320" w:lineRule="exact"/>
      <w:ind w:firstLine="0"/>
      <w:outlineLvl w:val="0"/>
    </w:pPr>
    <w:rPr>
      <w:b/>
      <w:sz w:val="28"/>
    </w:rPr>
  </w:style>
  <w:style w:type="paragraph" w:styleId="Ttulo2">
    <w:name w:val="heading 2"/>
    <w:basedOn w:val="Normal"/>
    <w:next w:val="Normal"/>
    <w:qFormat/>
    <w:pPr>
      <w:keepNext/>
      <w:keepLines/>
      <w:tabs>
        <w:tab w:val="left" w:pos="454"/>
      </w:tabs>
      <w:suppressAutoHyphens/>
      <w:spacing w:before="520" w:after="280" w:line="280" w:lineRule="exact"/>
      <w:ind w:firstLine="0"/>
      <w:outlineLvl w:val="1"/>
    </w:pPr>
    <w:rPr>
      <w:b/>
    </w:rPr>
  </w:style>
  <w:style w:type="paragraph" w:styleId="Ttulo3">
    <w:name w:val="heading 3"/>
    <w:basedOn w:val="Normal"/>
    <w:next w:val="Normal"/>
    <w:qFormat/>
    <w:pPr>
      <w:keepNext/>
      <w:keepLines/>
      <w:tabs>
        <w:tab w:val="left" w:pos="510"/>
      </w:tabs>
      <w:suppressAutoHyphens/>
      <w:spacing w:before="440" w:after="220" w:line="240" w:lineRule="exact"/>
      <w:ind w:firstLine="0"/>
      <w:outlineLvl w:val="2"/>
    </w:pPr>
    <w:rPr>
      <w:b/>
    </w:rPr>
  </w:style>
  <w:style w:type="paragraph" w:styleId="Ttulo4">
    <w:name w:val="heading 4"/>
    <w:basedOn w:val="Normal"/>
    <w:next w:val="Normal"/>
    <w:qFormat/>
    <w:pPr>
      <w:keepNext/>
      <w:numPr>
        <w:ilvl w:val="3"/>
        <w:numId w:val="1"/>
      </w:numPr>
      <w:spacing w:before="240" w:after="60"/>
      <w:ind w:firstLine="0"/>
      <w:outlineLvl w:val="3"/>
    </w:pPr>
    <w:rPr>
      <w:rFonts w:ascii="Arial" w:hAnsi="Arial"/>
      <w:b/>
      <w:sz w:val="24"/>
    </w:rPr>
  </w:style>
  <w:style w:type="paragraph" w:styleId="Ttulo5">
    <w:name w:val="heading 5"/>
    <w:basedOn w:val="Normal"/>
    <w:next w:val="Normal"/>
    <w:qFormat/>
    <w:pPr>
      <w:numPr>
        <w:ilvl w:val="4"/>
        <w:numId w:val="1"/>
      </w:numPr>
      <w:spacing w:before="240" w:after="60"/>
      <w:ind w:firstLine="0"/>
      <w:outlineLvl w:val="4"/>
    </w:pPr>
    <w:rPr>
      <w:rFonts w:ascii="Arial" w:hAnsi="Arial"/>
      <w:sz w:val="22"/>
    </w:rPr>
  </w:style>
  <w:style w:type="paragraph" w:styleId="Ttulo6">
    <w:name w:val="heading 6"/>
    <w:basedOn w:val="Normal"/>
    <w:next w:val="Normal"/>
    <w:qFormat/>
    <w:pPr>
      <w:numPr>
        <w:ilvl w:val="5"/>
        <w:numId w:val="1"/>
      </w:numPr>
      <w:spacing w:before="240" w:after="60"/>
      <w:ind w:firstLine="0"/>
      <w:outlineLvl w:val="5"/>
    </w:pPr>
    <w:rPr>
      <w:rFonts w:ascii="Times New Roman" w:hAnsi="Times New Roman"/>
      <w:i/>
      <w:sz w:val="22"/>
    </w:rPr>
  </w:style>
  <w:style w:type="paragraph" w:styleId="Ttulo7">
    <w:name w:val="heading 7"/>
    <w:basedOn w:val="Normal"/>
    <w:next w:val="Normal"/>
    <w:qFormat/>
    <w:pPr>
      <w:numPr>
        <w:ilvl w:val="6"/>
        <w:numId w:val="1"/>
      </w:numPr>
      <w:spacing w:before="240" w:after="60"/>
      <w:ind w:firstLine="0"/>
      <w:outlineLvl w:val="6"/>
    </w:pPr>
    <w:rPr>
      <w:rFonts w:ascii="Arial" w:hAnsi="Arial"/>
    </w:rPr>
  </w:style>
  <w:style w:type="paragraph" w:styleId="Ttulo8">
    <w:name w:val="heading 8"/>
    <w:basedOn w:val="Normal"/>
    <w:next w:val="Normal"/>
    <w:qFormat/>
    <w:pPr>
      <w:numPr>
        <w:ilvl w:val="7"/>
        <w:numId w:val="1"/>
      </w:numPr>
      <w:spacing w:before="240" w:after="60"/>
      <w:ind w:firstLine="0"/>
      <w:outlineLvl w:val="7"/>
    </w:pPr>
    <w:rPr>
      <w:rFonts w:ascii="Arial" w:hAnsi="Arial"/>
      <w:i/>
    </w:rPr>
  </w:style>
  <w:style w:type="paragraph" w:styleId="Ttulo9">
    <w:name w:val="heading 9"/>
    <w:basedOn w:val="Normal"/>
    <w:next w:val="Normal"/>
    <w:qFormat/>
    <w:pPr>
      <w:numPr>
        <w:ilvl w:val="8"/>
        <w:numId w:val="1"/>
      </w:numPr>
      <w:spacing w:before="240" w:after="60"/>
      <w:ind w:firstLine="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536"/>
        <w:tab w:val="right" w:pos="9072"/>
      </w:tabs>
    </w:pPr>
  </w:style>
  <w:style w:type="paragraph" w:styleId="Piedepgina">
    <w:name w:val="footer"/>
    <w:basedOn w:val="Normal"/>
    <w:link w:val="PiedepginaCar"/>
    <w:uiPriority w:val="99"/>
    <w:pPr>
      <w:tabs>
        <w:tab w:val="center" w:pos="4536"/>
        <w:tab w:val="right" w:pos="9072"/>
      </w:tabs>
    </w:pPr>
  </w:style>
  <w:style w:type="character" w:styleId="Nmerodepgina">
    <w:name w:val="page number"/>
    <w:basedOn w:val="Fuentedeprrafopredeter"/>
    <w:semiHidden/>
  </w:style>
  <w:style w:type="paragraph" w:customStyle="1" w:styleId="Puesto1">
    <w:name w:val="Puesto1"/>
    <w:basedOn w:val="Normal"/>
    <w:next w:val="author"/>
    <w:pPr>
      <w:keepNext/>
      <w:keepLines/>
      <w:pageBreakBefore/>
      <w:tabs>
        <w:tab w:val="left" w:pos="284"/>
      </w:tabs>
      <w:suppressAutoHyphens/>
      <w:spacing w:after="460"/>
      <w:jc w:val="center"/>
    </w:pPr>
    <w:rPr>
      <w:b/>
      <w:sz w:val="28"/>
    </w:rPr>
  </w:style>
  <w:style w:type="paragraph" w:customStyle="1" w:styleId="author">
    <w:name w:val="author"/>
    <w:basedOn w:val="Normal"/>
    <w:next w:val="address"/>
    <w:pPr>
      <w:spacing w:after="220"/>
      <w:jc w:val="center"/>
    </w:pPr>
  </w:style>
  <w:style w:type="paragraph" w:customStyle="1" w:styleId="address">
    <w:name w:val="address"/>
    <w:basedOn w:val="Normal"/>
    <w:next w:val="email"/>
    <w:pPr>
      <w:jc w:val="center"/>
    </w:pPr>
    <w:rPr>
      <w:sz w:val="18"/>
    </w:rPr>
  </w:style>
  <w:style w:type="paragraph" w:customStyle="1" w:styleId="email">
    <w:name w:val="email"/>
    <w:basedOn w:val="Normal"/>
    <w:next w:val="abstract"/>
    <w:pPr>
      <w:jc w:val="center"/>
    </w:pPr>
    <w:rPr>
      <w:rFonts w:ascii="Courier" w:hAnsi="Courier"/>
      <w:sz w:val="18"/>
    </w:rPr>
  </w:style>
  <w:style w:type="paragraph" w:customStyle="1" w:styleId="heading1">
    <w:name w:val="heading1"/>
    <w:basedOn w:val="Normal"/>
    <w:next w:val="p1a"/>
    <w:pPr>
      <w:keepNext/>
      <w:keepLines/>
      <w:tabs>
        <w:tab w:val="left" w:pos="454"/>
      </w:tabs>
      <w:suppressAutoHyphens/>
      <w:spacing w:before="520" w:after="280"/>
      <w:ind w:firstLine="0"/>
    </w:pPr>
    <w:rPr>
      <w:b/>
      <w:sz w:val="24"/>
    </w:rPr>
  </w:style>
  <w:style w:type="paragraph" w:customStyle="1" w:styleId="heading2">
    <w:name w:val="heading2"/>
    <w:basedOn w:val="Normal"/>
    <w:next w:val="p1a"/>
    <w:pPr>
      <w:keepNext/>
      <w:keepLines/>
      <w:tabs>
        <w:tab w:val="left" w:pos="510"/>
      </w:tabs>
      <w:suppressAutoHyphens/>
      <w:spacing w:before="440" w:after="220"/>
      <w:ind w:firstLine="0"/>
    </w:pPr>
    <w:rPr>
      <w:b/>
    </w:rPr>
  </w:style>
  <w:style w:type="paragraph" w:customStyle="1" w:styleId="heading3">
    <w:name w:val="heading3"/>
    <w:basedOn w:val="Normal"/>
    <w:next w:val="p1a"/>
    <w:pPr>
      <w:keepNext/>
      <w:keepLines/>
      <w:tabs>
        <w:tab w:val="left" w:pos="284"/>
      </w:tabs>
      <w:suppressAutoHyphens/>
      <w:spacing w:before="320"/>
      <w:ind w:firstLine="0"/>
    </w:pPr>
    <w:rPr>
      <w:b/>
    </w:rPr>
  </w:style>
  <w:style w:type="paragraph" w:customStyle="1" w:styleId="equation">
    <w:name w:val="equation"/>
    <w:basedOn w:val="Normal"/>
    <w:next w:val="Normal"/>
    <w:pPr>
      <w:tabs>
        <w:tab w:val="left" w:pos="6237"/>
      </w:tabs>
      <w:spacing w:before="120" w:after="120"/>
      <w:ind w:left="227"/>
      <w:jc w:val="center"/>
    </w:pPr>
  </w:style>
  <w:style w:type="paragraph" w:customStyle="1" w:styleId="figurelegend">
    <w:name w:val="figure legend"/>
    <w:basedOn w:val="Normal"/>
    <w:next w:val="Normal"/>
    <w:pPr>
      <w:keepNext/>
      <w:keepLines/>
      <w:spacing w:before="120" w:after="240"/>
      <w:ind w:firstLine="0"/>
    </w:pPr>
    <w:rPr>
      <w:sz w:val="18"/>
    </w:rPr>
  </w:style>
  <w:style w:type="paragraph" w:customStyle="1" w:styleId="tabletitle">
    <w:name w:val="table title"/>
    <w:basedOn w:val="Normal"/>
    <w:next w:val="Normal"/>
    <w:pPr>
      <w:keepNext/>
      <w:keepLines/>
      <w:spacing w:before="240" w:after="120"/>
      <w:ind w:firstLine="0"/>
    </w:pPr>
    <w:rPr>
      <w:sz w:val="18"/>
      <w:lang w:val="de-DE"/>
    </w:rPr>
  </w:style>
  <w:style w:type="paragraph" w:customStyle="1" w:styleId="abstract">
    <w:name w:val="abstract"/>
    <w:basedOn w:val="p1a"/>
    <w:next w:val="heading1"/>
    <w:pPr>
      <w:spacing w:before="600" w:after="120"/>
      <w:ind w:left="567" w:right="567"/>
    </w:pPr>
    <w:rPr>
      <w:sz w:val="18"/>
    </w:rPr>
  </w:style>
  <w:style w:type="paragraph" w:customStyle="1" w:styleId="p1a">
    <w:name w:val="p1a"/>
    <w:basedOn w:val="Normal"/>
    <w:next w:val="Normal"/>
    <w:pPr>
      <w:ind w:firstLine="0"/>
    </w:pPr>
  </w:style>
  <w:style w:type="paragraph" w:customStyle="1" w:styleId="referenceitem">
    <w:name w:val="referenceitem"/>
    <w:basedOn w:val="Normal"/>
    <w:pPr>
      <w:ind w:left="227" w:hanging="227"/>
    </w:pPr>
    <w:rPr>
      <w:sz w:val="18"/>
    </w:rPr>
  </w:style>
  <w:style w:type="character" w:styleId="Refdenotaalpie">
    <w:name w:val="footnote reference"/>
    <w:semiHidden/>
    <w:rPr>
      <w:position w:val="6"/>
      <w:sz w:val="12"/>
      <w:vertAlign w:val="baseline"/>
    </w:rPr>
  </w:style>
  <w:style w:type="paragraph" w:customStyle="1" w:styleId="Runninghead-left">
    <w:name w:val="Running head - left"/>
    <w:basedOn w:val="Normal"/>
    <w:pPr>
      <w:tabs>
        <w:tab w:val="left" w:pos="680"/>
        <w:tab w:val="right" w:pos="6237"/>
        <w:tab w:val="right" w:pos="6917"/>
      </w:tabs>
      <w:spacing w:after="240"/>
      <w:ind w:firstLine="0"/>
      <w:jc w:val="left"/>
    </w:pPr>
    <w:rPr>
      <w:sz w:val="18"/>
    </w:rPr>
  </w:style>
  <w:style w:type="paragraph" w:customStyle="1" w:styleId="Runninghead-right">
    <w:name w:val="Running head - right"/>
    <w:basedOn w:val="Runninghead-left"/>
    <w:pPr>
      <w:jc w:val="right"/>
    </w:pPr>
  </w:style>
  <w:style w:type="paragraph" w:customStyle="1" w:styleId="BulletItem">
    <w:name w:val="Bullet Item"/>
    <w:basedOn w:val="Item"/>
  </w:style>
  <w:style w:type="paragraph" w:customStyle="1" w:styleId="Item">
    <w:name w:val="Item"/>
    <w:basedOn w:val="Normal"/>
    <w:next w:val="Normal"/>
    <w:pPr>
      <w:tabs>
        <w:tab w:val="left" w:pos="227"/>
        <w:tab w:val="left" w:pos="454"/>
      </w:tabs>
      <w:ind w:left="227" w:hanging="227"/>
    </w:pPr>
  </w:style>
  <w:style w:type="paragraph" w:customStyle="1" w:styleId="NumberedItem">
    <w:name w:val="Numbered Item"/>
    <w:basedOn w:val="Item"/>
  </w:style>
  <w:style w:type="paragraph" w:styleId="Textonotapie">
    <w:name w:val="footnote text"/>
    <w:basedOn w:val="Normal"/>
    <w:semiHidden/>
    <w:pPr>
      <w:tabs>
        <w:tab w:val="left" w:pos="170"/>
      </w:tabs>
      <w:spacing w:line="220" w:lineRule="exact"/>
      <w:ind w:left="170" w:hanging="170"/>
    </w:pPr>
    <w:rPr>
      <w:sz w:val="18"/>
    </w:rPr>
  </w:style>
  <w:style w:type="paragraph" w:customStyle="1" w:styleId="programcode">
    <w:name w:val="programcode"/>
    <w:basedOn w:val="Normal"/>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pPr>
      <w:tabs>
        <w:tab w:val="left" w:pos="170"/>
      </w:tabs>
      <w:ind w:left="170" w:hanging="170"/>
    </w:pPr>
    <w:rPr>
      <w:sz w:val="18"/>
    </w:rPr>
  </w:style>
  <w:style w:type="paragraph" w:customStyle="1" w:styleId="Epgrafe">
    <w:name w:val="Epígrafe"/>
    <w:basedOn w:val="Normal"/>
    <w:next w:val="Normal"/>
    <w:qFormat/>
    <w:pPr>
      <w:spacing w:before="120" w:after="120"/>
    </w:pPr>
    <w:rPr>
      <w:b/>
    </w:rPr>
  </w:style>
  <w:style w:type="paragraph" w:customStyle="1" w:styleId="heading4">
    <w:name w:val="heading4"/>
    <w:basedOn w:val="Normal"/>
    <w:next w:val="p1a"/>
    <w:pPr>
      <w:spacing w:before="320"/>
      <w:ind w:firstLine="0"/>
    </w:pPr>
    <w:rPr>
      <w:i/>
    </w:rPr>
  </w:style>
  <w:style w:type="character" w:styleId="Hipervnculo">
    <w:name w:val="Hyperlink"/>
    <w:semiHidden/>
    <w:rPr>
      <w:color w:val="0000FF"/>
      <w:u w:val="single"/>
    </w:rPr>
  </w:style>
  <w:style w:type="paragraph" w:customStyle="1" w:styleId="Textoindependiente21">
    <w:name w:val="Texto independiente 21"/>
    <w:basedOn w:val="Normal"/>
  </w:style>
  <w:style w:type="paragraph" w:styleId="Mapadeldocumento">
    <w:name w:val="Document Map"/>
    <w:basedOn w:val="Normal"/>
    <w:semiHidden/>
    <w:pPr>
      <w:shd w:val="clear" w:color="auto" w:fill="000080"/>
    </w:pPr>
    <w:rPr>
      <w:rFonts w:ascii="Tahoma" w:hAnsi="Tahoma"/>
    </w:rPr>
  </w:style>
  <w:style w:type="character" w:customStyle="1" w:styleId="Estilo1Car">
    <w:name w:val="Estilo1 Car"/>
    <w:link w:val="Estilo1"/>
    <w:locked/>
    <w:rsid w:val="00DB1F62"/>
    <w:rPr>
      <w:sz w:val="24"/>
      <w:szCs w:val="24"/>
      <w:lang w:val="en-US" w:eastAsia="en-US"/>
    </w:rPr>
  </w:style>
  <w:style w:type="paragraph" w:customStyle="1" w:styleId="Estilo1">
    <w:name w:val="Estilo1"/>
    <w:basedOn w:val="Normal"/>
    <w:link w:val="Estilo1Car"/>
    <w:qFormat/>
    <w:rsid w:val="00DB1F62"/>
    <w:pPr>
      <w:ind w:firstLine="0"/>
    </w:pPr>
    <w:rPr>
      <w:rFonts w:ascii="Times New Roman" w:hAnsi="Times New Roman"/>
      <w:sz w:val="24"/>
      <w:szCs w:val="24"/>
      <w:lang w:eastAsia="en-US"/>
    </w:rPr>
  </w:style>
  <w:style w:type="table" w:styleId="Sombreadoclaro">
    <w:name w:val="Light Shading"/>
    <w:basedOn w:val="Tablanormal"/>
    <w:uiPriority w:val="60"/>
    <w:rsid w:val="003423F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aconcuadrcula">
    <w:name w:val="Table Grid"/>
    <w:basedOn w:val="Tablanormal"/>
    <w:uiPriority w:val="59"/>
    <w:rsid w:val="00ED1D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epginaCar">
    <w:name w:val="Pie de página Car"/>
    <w:link w:val="Piedepgina"/>
    <w:uiPriority w:val="99"/>
    <w:rsid w:val="00A5647B"/>
    <w:rPr>
      <w:rFonts w:ascii="Times" w:hAnsi="Time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943360">
      <w:bodyDiv w:val="1"/>
      <w:marLeft w:val="0"/>
      <w:marRight w:val="0"/>
      <w:marTop w:val="0"/>
      <w:marBottom w:val="0"/>
      <w:divBdr>
        <w:top w:val="none" w:sz="0" w:space="0" w:color="auto"/>
        <w:left w:val="none" w:sz="0" w:space="0" w:color="auto"/>
        <w:bottom w:val="none" w:sz="0" w:space="0" w:color="auto"/>
        <w:right w:val="none" w:sz="0" w:space="0" w:color="auto"/>
      </w:divBdr>
    </w:div>
    <w:div w:id="1412120160">
      <w:bodyDiv w:val="1"/>
      <w:marLeft w:val="0"/>
      <w:marRight w:val="0"/>
      <w:marTop w:val="0"/>
      <w:marBottom w:val="0"/>
      <w:divBdr>
        <w:top w:val="none" w:sz="0" w:space="0" w:color="auto"/>
        <w:left w:val="none" w:sz="0" w:space="0" w:color="auto"/>
        <w:bottom w:val="none" w:sz="0" w:space="0" w:color="auto"/>
        <w:right w:val="none" w:sz="0" w:space="0" w:color="auto"/>
      </w:divBdr>
      <w:divsChild>
        <w:div w:id="1921862874">
          <w:marLeft w:val="0"/>
          <w:marRight w:val="0"/>
          <w:marTop w:val="0"/>
          <w:marBottom w:val="0"/>
          <w:divBdr>
            <w:top w:val="none" w:sz="0" w:space="0" w:color="auto"/>
            <w:left w:val="single" w:sz="12" w:space="0" w:color="F1F1F1"/>
            <w:bottom w:val="none" w:sz="0" w:space="0" w:color="auto"/>
            <w:right w:val="single" w:sz="12" w:space="0" w:color="F1F1F1"/>
          </w:divBdr>
          <w:divsChild>
            <w:div w:id="1226069458">
              <w:marLeft w:val="0"/>
              <w:marRight w:val="0"/>
              <w:marTop w:val="0"/>
              <w:marBottom w:val="0"/>
              <w:divBdr>
                <w:top w:val="none" w:sz="0" w:space="0" w:color="auto"/>
                <w:left w:val="none" w:sz="0" w:space="0" w:color="auto"/>
                <w:bottom w:val="none" w:sz="0" w:space="0" w:color="auto"/>
                <w:right w:val="none" w:sz="0" w:space="0" w:color="auto"/>
              </w:divBdr>
              <w:divsChild>
                <w:div w:id="1885406267">
                  <w:marLeft w:val="0"/>
                  <w:marRight w:val="0"/>
                  <w:marTop w:val="0"/>
                  <w:marBottom w:val="0"/>
                  <w:divBdr>
                    <w:top w:val="none" w:sz="0" w:space="0" w:color="auto"/>
                    <w:left w:val="none" w:sz="0" w:space="0" w:color="auto"/>
                    <w:bottom w:val="none" w:sz="0" w:space="0" w:color="auto"/>
                    <w:right w:val="none" w:sz="0" w:space="0" w:color="auto"/>
                  </w:divBdr>
                  <w:divsChild>
                    <w:div w:id="962922009">
                      <w:marLeft w:val="0"/>
                      <w:marRight w:val="0"/>
                      <w:marTop w:val="0"/>
                      <w:marBottom w:val="0"/>
                      <w:divBdr>
                        <w:top w:val="none" w:sz="0" w:space="0" w:color="auto"/>
                        <w:left w:val="none" w:sz="0" w:space="0" w:color="auto"/>
                        <w:bottom w:val="none" w:sz="0" w:space="0" w:color="auto"/>
                        <w:right w:val="none" w:sz="0" w:space="0" w:color="auto"/>
                      </w:divBdr>
                      <w:divsChild>
                        <w:div w:id="1977100546">
                          <w:marLeft w:val="0"/>
                          <w:marRight w:val="0"/>
                          <w:marTop w:val="0"/>
                          <w:marBottom w:val="0"/>
                          <w:divBdr>
                            <w:top w:val="none" w:sz="0" w:space="0" w:color="auto"/>
                            <w:left w:val="none" w:sz="0" w:space="0" w:color="auto"/>
                            <w:bottom w:val="none" w:sz="0" w:space="0" w:color="auto"/>
                            <w:right w:val="none" w:sz="0" w:space="0" w:color="auto"/>
                          </w:divBdr>
                          <w:divsChild>
                            <w:div w:id="17483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Springer\sv-ln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947E4-2554-43F7-ACD6-DBDFDD99A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sv-lncs</Template>
  <TotalTime>1</TotalTime>
  <Pages>4</Pages>
  <Words>1592</Words>
  <Characters>8760</Characters>
  <Application>Microsoft Office Word</Application>
  <DocSecurity>0</DocSecurity>
  <Lines>73</Lines>
  <Paragraphs>20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Lecture Notes in Computer Science:</vt:lpstr>
      <vt:lpstr>Lecture Notes in Computer Science:</vt:lpstr>
    </vt:vector>
  </TitlesOfParts>
  <Company>Springer Verlag</Company>
  <LinksUpToDate>false</LinksUpToDate>
  <CharactersWithSpaces>10332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Notes in Computer Science:</dc:title>
  <dc:subject/>
  <dc:creator>foobar</dc:creator>
  <cp:keywords/>
  <cp:lastModifiedBy>BUENO, Sandra</cp:lastModifiedBy>
  <cp:revision>2</cp:revision>
  <cp:lastPrinted>2001-10-01T10:05:00Z</cp:lastPrinted>
  <dcterms:created xsi:type="dcterms:W3CDTF">2016-11-29T15:53:00Z</dcterms:created>
  <dcterms:modified xsi:type="dcterms:W3CDTF">2016-11-29T15:53:00Z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-1979127782</vt:i4>
  </property>
  <property fmtid="{D5CDD505-2E9C-101B-9397-08002B2CF9AE}" pid="3" name="_EmailSubject">
    <vt:lpwstr>Web</vt:lpwstr>
  </property>
  <property fmtid="{D5CDD505-2E9C-101B-9397-08002B2CF9AE}" pid="4" name="_AuthorEmail">
    <vt:lpwstr>roberto.barchino@uah.es</vt:lpwstr>
  </property>
  <property fmtid="{D5CDD505-2E9C-101B-9397-08002B2CF9AE}" pid="5" name="_AuthorEmailDisplayName">
    <vt:lpwstr>Barchino Plata Roberto</vt:lpwstr>
  </property>
  <property fmtid="{D5CDD505-2E9C-101B-9397-08002B2CF9AE}" pid="6" name="_PreviousAdHocReviewCycleID">
    <vt:i4>-654710800</vt:i4>
  </property>
  <property fmtid="{D5CDD505-2E9C-101B-9397-08002B2CF9AE}" pid="7" name="_ReviewingToolsShownOnce">
    <vt:lpwstr/>
  </property>
</Properties>
</file>